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420" w:rsidRDefault="00C15420" w:rsidP="00C1542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DZP/270/119/16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 xml:space="preserve">        Załącznik Nr 3 do Formularza Oferty</w:t>
      </w:r>
    </w:p>
    <w:p w:rsidR="00C15420" w:rsidRDefault="00C15420" w:rsidP="00C1542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965C5A" w:rsidRPr="00431B3C" w:rsidRDefault="00965C5A" w:rsidP="00965C5A">
      <w:pPr>
        <w:spacing w:after="0" w:line="240" w:lineRule="auto"/>
        <w:ind w:firstLine="77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Licencja bazy danych</w:t>
      </w:r>
      <w:r w:rsidRPr="00431B3C">
        <w:rPr>
          <w:rFonts w:ascii="Tahoma" w:hAnsi="Tahoma" w:cs="Tahoma"/>
          <w:b/>
          <w:sz w:val="24"/>
          <w:szCs w:val="24"/>
        </w:rPr>
        <w:t xml:space="preserve"> - </w:t>
      </w:r>
      <w:r>
        <w:rPr>
          <w:rFonts w:ascii="Tahoma" w:hAnsi="Tahoma" w:cs="Tahoma"/>
          <w:b/>
          <w:sz w:val="24"/>
          <w:szCs w:val="24"/>
        </w:rPr>
        <w:t>2</w:t>
      </w:r>
      <w:r w:rsidRPr="00431B3C">
        <w:rPr>
          <w:rFonts w:ascii="Tahoma" w:hAnsi="Tahoma" w:cs="Tahoma"/>
          <w:b/>
          <w:sz w:val="24"/>
          <w:szCs w:val="24"/>
        </w:rPr>
        <w:t xml:space="preserve"> szt.</w:t>
      </w:r>
    </w:p>
    <w:p w:rsidR="00965C5A" w:rsidRDefault="00965C5A" w:rsidP="00965C5A">
      <w:pPr>
        <w:shd w:val="clear" w:color="auto" w:fill="FFFFFF"/>
        <w:tabs>
          <w:tab w:val="left" w:pos="2445"/>
          <w:tab w:val="left" w:leader="dot" w:pos="2712"/>
        </w:tabs>
        <w:spacing w:after="0" w:line="240" w:lineRule="auto"/>
        <w:ind w:left="77"/>
      </w:pPr>
      <w:r>
        <w:rPr>
          <w:rFonts w:ascii="Times New Roman" w:hAnsi="Times New Roman"/>
          <w:spacing w:val="-1"/>
          <w:sz w:val="24"/>
          <w:szCs w:val="24"/>
        </w:rPr>
        <w:t>Producent/Firma  ……………………</w:t>
      </w:r>
      <w:r w:rsidR="00931DBF">
        <w:rPr>
          <w:rFonts w:ascii="Times New Roman" w:hAnsi="Times New Roman"/>
          <w:spacing w:val="-1"/>
          <w:sz w:val="24"/>
          <w:szCs w:val="24"/>
        </w:rPr>
        <w:t>………………………..</w:t>
      </w:r>
    </w:p>
    <w:p w:rsidR="00965C5A" w:rsidRDefault="00965C5A" w:rsidP="00965C5A">
      <w:pPr>
        <w:shd w:val="clear" w:color="auto" w:fill="FFFFFF"/>
        <w:tabs>
          <w:tab w:val="left" w:leader="dot" w:pos="2678"/>
        </w:tabs>
        <w:spacing w:after="0" w:line="240" w:lineRule="auto"/>
        <w:ind w:left="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Typ, model</w:t>
      </w:r>
      <w:r>
        <w:rPr>
          <w:rFonts w:ascii="Times New Roman" w:hAnsi="Times New Roman"/>
          <w:sz w:val="24"/>
          <w:szCs w:val="24"/>
        </w:rPr>
        <w:tab/>
        <w:t>…………...</w:t>
      </w:r>
      <w:r w:rsidR="00931DBF">
        <w:rPr>
          <w:rFonts w:ascii="Times New Roman" w:hAnsi="Times New Roman"/>
          <w:sz w:val="24"/>
          <w:szCs w:val="24"/>
        </w:rPr>
        <w:t>....................................</w:t>
      </w:r>
    </w:p>
    <w:p w:rsidR="00931DBF" w:rsidRDefault="00931DBF" w:rsidP="00965C5A">
      <w:pPr>
        <w:shd w:val="clear" w:color="auto" w:fill="FFFFFF"/>
        <w:tabs>
          <w:tab w:val="left" w:leader="dot" w:pos="2678"/>
        </w:tabs>
        <w:spacing w:after="0" w:line="240" w:lineRule="auto"/>
        <w:ind w:left="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oprogramowania ……………………………………..</w:t>
      </w: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"/>
        <w:gridCol w:w="1750"/>
        <w:gridCol w:w="581"/>
        <w:gridCol w:w="4245"/>
        <w:gridCol w:w="2860"/>
        <w:gridCol w:w="996"/>
      </w:tblGrid>
      <w:tr w:rsidR="00965C5A" w:rsidRPr="0075776C" w:rsidTr="00ED35D2">
        <w:trPr>
          <w:trHeight w:val="425"/>
          <w:jc w:val="center"/>
        </w:trPr>
        <w:tc>
          <w:tcPr>
            <w:tcW w:w="1843" w:type="dxa"/>
            <w:gridSpan w:val="2"/>
            <w:shd w:val="clear" w:color="auto" w:fill="000000" w:themeFill="text1"/>
          </w:tcPr>
          <w:p w:rsidR="00965C5A" w:rsidRPr="000F15B6" w:rsidRDefault="00965C5A" w:rsidP="00965C5A">
            <w:pPr>
              <w:pStyle w:val="Bezodstpw"/>
              <w:jc w:val="center"/>
              <w:rPr>
                <w:rFonts w:ascii="Times New Roman" w:hAnsi="Times New Roman"/>
                <w:b/>
                <w:color w:val="FFFFFF"/>
                <w:sz w:val="20"/>
                <w:szCs w:val="20"/>
              </w:rPr>
            </w:pPr>
            <w:r w:rsidRPr="000F15B6">
              <w:rPr>
                <w:rFonts w:ascii="Times New Roman" w:hAnsi="Times New Roman"/>
                <w:b/>
                <w:color w:val="FFFFFF"/>
                <w:sz w:val="20"/>
                <w:szCs w:val="20"/>
              </w:rPr>
              <w:t>Nazwa podzespołu</w:t>
            </w:r>
          </w:p>
        </w:tc>
        <w:tc>
          <w:tcPr>
            <w:tcW w:w="8682" w:type="dxa"/>
            <w:gridSpan w:val="4"/>
            <w:shd w:val="clear" w:color="auto" w:fill="000000" w:themeFill="text1"/>
          </w:tcPr>
          <w:p w:rsidR="00965C5A" w:rsidRPr="000F15B6" w:rsidRDefault="00965C5A" w:rsidP="00965C5A">
            <w:pPr>
              <w:pStyle w:val="Bezodstpw"/>
              <w:jc w:val="center"/>
              <w:rPr>
                <w:rFonts w:ascii="Times New Roman" w:hAnsi="Times New Roman"/>
                <w:b/>
                <w:color w:val="FFFFFF"/>
                <w:sz w:val="20"/>
                <w:szCs w:val="20"/>
              </w:rPr>
            </w:pPr>
            <w:r w:rsidRPr="000F15B6">
              <w:rPr>
                <w:rFonts w:ascii="Times New Roman" w:hAnsi="Times New Roman"/>
                <w:b/>
                <w:color w:val="FFFFFF"/>
                <w:sz w:val="20"/>
                <w:szCs w:val="20"/>
              </w:rPr>
              <w:t>Minimalne wymagane parametry</w:t>
            </w:r>
          </w:p>
        </w:tc>
      </w:tr>
      <w:tr w:rsidR="00965C5A" w:rsidRPr="0075776C" w:rsidTr="00ED35D2">
        <w:trPr>
          <w:trHeight w:val="2998"/>
          <w:jc w:val="center"/>
        </w:trPr>
        <w:tc>
          <w:tcPr>
            <w:tcW w:w="1843" w:type="dxa"/>
            <w:gridSpan w:val="2"/>
          </w:tcPr>
          <w:p w:rsidR="00965C5A" w:rsidRPr="0075776C" w:rsidRDefault="00965C5A" w:rsidP="00965C5A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75776C">
              <w:rPr>
                <w:rFonts w:ascii="Times New Roman" w:hAnsi="Times New Roman"/>
                <w:sz w:val="20"/>
                <w:szCs w:val="20"/>
              </w:rPr>
              <w:t>Oprogramowanie</w:t>
            </w:r>
          </w:p>
        </w:tc>
        <w:tc>
          <w:tcPr>
            <w:tcW w:w="8682" w:type="dxa"/>
            <w:gridSpan w:val="4"/>
          </w:tcPr>
          <w:p w:rsidR="00965C5A" w:rsidRPr="0075776C" w:rsidRDefault="00965C5A" w:rsidP="00965C5A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75776C">
              <w:rPr>
                <w:rFonts w:ascii="Times New Roman" w:hAnsi="Times New Roman"/>
                <w:sz w:val="20"/>
                <w:szCs w:val="20"/>
              </w:rPr>
              <w:t>- Systemy operacyjne serwerów przeznaczonych do obsługi bazy danych posiadają następującą funkcjonalność: otwarty kod źródłowy, tworzenie RAID 0,1,5,6,10 bez dedykowanego rozwiązania sprzętowego, prawo do aktualizacji zakupionego systemu operacyjnego, prawo do nowych wersji systemu operacyjnego.</w:t>
            </w:r>
          </w:p>
          <w:p w:rsidR="00965C5A" w:rsidRPr="0075776C" w:rsidRDefault="00965C5A" w:rsidP="00965C5A">
            <w:pPr>
              <w:pStyle w:val="Zwykytekst"/>
              <w:jc w:val="both"/>
              <w:rPr>
                <w:rFonts w:ascii="Times New Roman" w:hAnsi="Times New Roman" w:cs="Times New Roman"/>
              </w:rPr>
            </w:pPr>
            <w:r w:rsidRPr="0075776C">
              <w:rPr>
                <w:rFonts w:ascii="Times New Roman" w:hAnsi="Times New Roman" w:cs="Times New Roman"/>
              </w:rPr>
              <w:t>-Licencja na motor bazy danych umożliwiająca uruchomienie na 2 fizycznych procesorów klasy Intel x86 (po 1 w 2 serwerach spiętych w klaster). Licencja musi być dożywotnia, bez ograniczeń formalnych na wykorzystanie z aplikacjami pochodzącymi od dowolnych dostawców. Wraz z licencją należy dostarczyć usługę asysty technicznej i konserwacji producenta na okres minimum 12 miesięcy. Kompatybilna z poniższymi wymaganiami:</w:t>
            </w:r>
          </w:p>
          <w:p w:rsidR="00965C5A" w:rsidRPr="0075776C" w:rsidRDefault="00965C5A" w:rsidP="00965C5A">
            <w:pPr>
              <w:pStyle w:val="Zwykytekst"/>
              <w:jc w:val="both"/>
              <w:rPr>
                <w:rFonts w:ascii="Times New Roman" w:hAnsi="Times New Roman" w:cs="Times New Roman"/>
              </w:rPr>
            </w:pPr>
            <w:r w:rsidRPr="0075776C">
              <w:rPr>
                <w:rFonts w:ascii="Times New Roman" w:hAnsi="Times New Roman" w:cs="Times New Roman"/>
              </w:rPr>
              <w:t>- Dostępność oprogramowania na współczesne 64-bitowe platformy Unix (</w:t>
            </w:r>
            <w:proofErr w:type="spellStart"/>
            <w:r w:rsidRPr="0075776C">
              <w:rPr>
                <w:rFonts w:ascii="Times New Roman" w:hAnsi="Times New Roman" w:cs="Times New Roman"/>
              </w:rPr>
              <w:t>HP-UX</w:t>
            </w:r>
            <w:proofErr w:type="spellEnd"/>
            <w:r w:rsidRPr="0075776C">
              <w:rPr>
                <w:rFonts w:ascii="Times New Roman" w:hAnsi="Times New Roman" w:cs="Times New Roman"/>
              </w:rPr>
              <w:t xml:space="preserve"> dla </w:t>
            </w:r>
            <w:proofErr w:type="spellStart"/>
            <w:r w:rsidRPr="0075776C">
              <w:rPr>
                <w:rFonts w:ascii="Times New Roman" w:hAnsi="Times New Roman" w:cs="Times New Roman"/>
              </w:rPr>
              <w:t>Itanium</w:t>
            </w:r>
            <w:proofErr w:type="spellEnd"/>
            <w:r w:rsidRPr="0075776C">
              <w:rPr>
                <w:rFonts w:ascii="Times New Roman" w:hAnsi="Times New Roman" w:cs="Times New Roman"/>
              </w:rPr>
              <w:t>, Solaris dla procesorów SPARC/x86-64, IBM AIX), Intel Linux 64-bit, MS Windows 64-bit. Identyczna funkcjonalność serwera bazy danych na ww. platformach.</w:t>
            </w:r>
          </w:p>
          <w:p w:rsidR="00965C5A" w:rsidRPr="0075776C" w:rsidRDefault="00965C5A" w:rsidP="00965C5A">
            <w:pPr>
              <w:pStyle w:val="Zwykytekst"/>
              <w:jc w:val="both"/>
              <w:rPr>
                <w:rFonts w:ascii="Times New Roman" w:hAnsi="Times New Roman" w:cs="Times New Roman"/>
              </w:rPr>
            </w:pPr>
            <w:r w:rsidRPr="0075776C">
              <w:rPr>
                <w:rFonts w:ascii="Times New Roman" w:hAnsi="Times New Roman" w:cs="Times New Roman"/>
              </w:rPr>
              <w:t>- Niezależność platformy systemowej dla oprogramowania klienckiego / serwera aplikacyjnego od platformy systemowej bazy danych.</w:t>
            </w:r>
          </w:p>
          <w:p w:rsidR="00965C5A" w:rsidRPr="0075776C" w:rsidRDefault="00965C5A" w:rsidP="00965C5A">
            <w:pPr>
              <w:pStyle w:val="Zwykytekst"/>
              <w:jc w:val="both"/>
              <w:rPr>
                <w:rFonts w:ascii="Times New Roman" w:hAnsi="Times New Roman" w:cs="Times New Roman"/>
              </w:rPr>
            </w:pPr>
            <w:r w:rsidRPr="0075776C">
              <w:rPr>
                <w:rFonts w:ascii="Times New Roman" w:hAnsi="Times New Roman" w:cs="Times New Roman"/>
              </w:rPr>
              <w:t>- Możliwość przeniesienia (migracji) struktur bazy danych i danych pomiędzy ww. platformami bez konieczności rekompilacji aplikacji bądź migracji środowiska aplikacyjnego.</w:t>
            </w:r>
          </w:p>
          <w:p w:rsidR="00965C5A" w:rsidRPr="0075776C" w:rsidRDefault="00965C5A" w:rsidP="00965C5A">
            <w:pPr>
              <w:pStyle w:val="Zwykytekst"/>
              <w:jc w:val="both"/>
              <w:rPr>
                <w:rFonts w:ascii="Times New Roman" w:hAnsi="Times New Roman" w:cs="Times New Roman"/>
              </w:rPr>
            </w:pPr>
            <w:r w:rsidRPr="0075776C">
              <w:rPr>
                <w:rFonts w:ascii="Times New Roman" w:hAnsi="Times New Roman" w:cs="Times New Roman"/>
              </w:rPr>
              <w:t>- Przetwarzanie transakcyjne wg reguł ACID (</w:t>
            </w:r>
            <w:proofErr w:type="spellStart"/>
            <w:r w:rsidRPr="0075776C">
              <w:rPr>
                <w:rFonts w:ascii="Times New Roman" w:hAnsi="Times New Roman" w:cs="Times New Roman"/>
              </w:rPr>
              <w:t>Atomicity</w:t>
            </w:r>
            <w:proofErr w:type="spellEnd"/>
            <w:r w:rsidRPr="0075776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5776C">
              <w:rPr>
                <w:rFonts w:ascii="Times New Roman" w:hAnsi="Times New Roman" w:cs="Times New Roman"/>
              </w:rPr>
              <w:t>Consistency</w:t>
            </w:r>
            <w:proofErr w:type="spellEnd"/>
            <w:r w:rsidRPr="0075776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5776C">
              <w:rPr>
                <w:rFonts w:ascii="Times New Roman" w:hAnsi="Times New Roman" w:cs="Times New Roman"/>
              </w:rPr>
              <w:t>Independency</w:t>
            </w:r>
            <w:proofErr w:type="spellEnd"/>
            <w:r w:rsidRPr="0075776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5776C">
              <w:rPr>
                <w:rFonts w:ascii="Times New Roman" w:hAnsi="Times New Roman" w:cs="Times New Roman"/>
              </w:rPr>
              <w:t>Durability</w:t>
            </w:r>
            <w:proofErr w:type="spellEnd"/>
            <w:r w:rsidRPr="0075776C">
              <w:rPr>
                <w:rFonts w:ascii="Times New Roman" w:hAnsi="Times New Roman" w:cs="Times New Roman"/>
              </w:rPr>
              <w:t xml:space="preserve">) z zachowaniem spójności i maksymalnego możliwego stopnia współbieżności. Mechanizm izolowania transakcji powinien pozwalać na spójny odczyt modyfikowanego obszaru danych bez wprowadzania blokad, z kolei spójny odczyt nie powinien blokować możliwości wykonywania zmian. </w:t>
            </w:r>
          </w:p>
          <w:p w:rsidR="00965C5A" w:rsidRPr="0075776C" w:rsidRDefault="00965C5A" w:rsidP="00965C5A">
            <w:pPr>
              <w:pStyle w:val="Zwykytekst"/>
              <w:jc w:val="both"/>
              <w:rPr>
                <w:rFonts w:ascii="Times New Roman" w:hAnsi="Times New Roman" w:cs="Times New Roman"/>
              </w:rPr>
            </w:pPr>
            <w:r w:rsidRPr="0075776C">
              <w:rPr>
                <w:rFonts w:ascii="Times New Roman" w:hAnsi="Times New Roman" w:cs="Times New Roman"/>
              </w:rPr>
              <w:t xml:space="preserve">Oznacza to, że modyfikowanie wierszy nie może blokować ich odczytu, z kolei odczyt wierszy nie może ich blokować do celów modyfikacji. Jednocześnie spójność odczytu musi gwarantować uzyskanie rezultatów zapytań odzwierciedlających stan danych z chwili jego rozpoczęcia, </w:t>
            </w:r>
          </w:p>
          <w:p w:rsidR="00965C5A" w:rsidRPr="0075776C" w:rsidRDefault="00965C5A" w:rsidP="00965C5A">
            <w:pPr>
              <w:pStyle w:val="Zwykytekst"/>
              <w:jc w:val="both"/>
              <w:rPr>
                <w:rFonts w:ascii="Times New Roman" w:hAnsi="Times New Roman" w:cs="Times New Roman"/>
              </w:rPr>
            </w:pPr>
            <w:r w:rsidRPr="0075776C">
              <w:rPr>
                <w:rFonts w:ascii="Times New Roman" w:hAnsi="Times New Roman" w:cs="Times New Roman"/>
              </w:rPr>
              <w:t xml:space="preserve">niezależnie od modyfikacji przeglądanego zbioru danych. </w:t>
            </w:r>
          </w:p>
          <w:p w:rsidR="00965C5A" w:rsidRPr="0075776C" w:rsidRDefault="00965C5A" w:rsidP="00965C5A">
            <w:pPr>
              <w:pStyle w:val="Zwykytekst"/>
              <w:jc w:val="both"/>
              <w:rPr>
                <w:rFonts w:ascii="Times New Roman" w:hAnsi="Times New Roman" w:cs="Times New Roman"/>
              </w:rPr>
            </w:pPr>
            <w:r w:rsidRPr="0075776C">
              <w:rPr>
                <w:rFonts w:ascii="Times New Roman" w:hAnsi="Times New Roman" w:cs="Times New Roman"/>
              </w:rPr>
              <w:t xml:space="preserve">- Wsparcie dla wielu ustawień narodowych i wielu zestawów znaków (włącznie z </w:t>
            </w:r>
            <w:proofErr w:type="spellStart"/>
            <w:r w:rsidRPr="0075776C">
              <w:rPr>
                <w:rFonts w:ascii="Times New Roman" w:hAnsi="Times New Roman" w:cs="Times New Roman"/>
              </w:rPr>
              <w:t>Unicode</w:t>
            </w:r>
            <w:proofErr w:type="spellEnd"/>
            <w:r w:rsidRPr="0075776C">
              <w:rPr>
                <w:rFonts w:ascii="Times New Roman" w:hAnsi="Times New Roman" w:cs="Times New Roman"/>
              </w:rPr>
              <w:t xml:space="preserve">). </w:t>
            </w:r>
          </w:p>
          <w:p w:rsidR="00965C5A" w:rsidRPr="0075776C" w:rsidRDefault="00965C5A" w:rsidP="00965C5A">
            <w:pPr>
              <w:pStyle w:val="Zwykytekst"/>
              <w:jc w:val="both"/>
              <w:rPr>
                <w:rFonts w:ascii="Times New Roman" w:hAnsi="Times New Roman" w:cs="Times New Roman"/>
                <w:lang w:val="en-US"/>
              </w:rPr>
            </w:pPr>
            <w:r w:rsidRPr="0075776C">
              <w:rPr>
                <w:rFonts w:ascii="Times New Roman" w:hAnsi="Times New Roman" w:cs="Times New Roman"/>
              </w:rPr>
              <w:t xml:space="preserve">- Możliwość migracji 8-bitowego zestawu znaków bazy danych (np. </w:t>
            </w:r>
            <w:r w:rsidRPr="0075776C">
              <w:rPr>
                <w:rFonts w:ascii="Times New Roman" w:hAnsi="Times New Roman" w:cs="Times New Roman"/>
                <w:lang w:val="en-US"/>
              </w:rPr>
              <w:t>MS Windows CP 1252, ISO 8859-2) do Unicode.</w:t>
            </w:r>
          </w:p>
          <w:p w:rsidR="00965C5A" w:rsidRPr="0075776C" w:rsidRDefault="00965C5A" w:rsidP="00965C5A">
            <w:pPr>
              <w:pStyle w:val="Zwykytekst"/>
              <w:jc w:val="both"/>
              <w:rPr>
                <w:rFonts w:ascii="Times New Roman" w:hAnsi="Times New Roman" w:cs="Times New Roman"/>
              </w:rPr>
            </w:pPr>
            <w:r w:rsidRPr="0075776C">
              <w:rPr>
                <w:rFonts w:ascii="Times New Roman" w:hAnsi="Times New Roman" w:cs="Times New Roman"/>
              </w:rPr>
              <w:t>- Skalowanie rozwiązań opartych o architekturę trójwarstwową: możliwość uruchomienia wielu sesji bazy danych przy wykorzystaniu jednego połączenia z serwera aplikacyjnego do serwera bazy danych.</w:t>
            </w:r>
          </w:p>
          <w:p w:rsidR="00965C5A" w:rsidRPr="0075776C" w:rsidRDefault="00965C5A" w:rsidP="00965C5A">
            <w:pPr>
              <w:pStyle w:val="Zwykytekst"/>
              <w:jc w:val="both"/>
              <w:rPr>
                <w:rFonts w:ascii="Times New Roman" w:hAnsi="Times New Roman" w:cs="Times New Roman"/>
              </w:rPr>
            </w:pPr>
            <w:r w:rsidRPr="0075776C">
              <w:rPr>
                <w:rFonts w:ascii="Times New Roman" w:hAnsi="Times New Roman" w:cs="Times New Roman"/>
              </w:rPr>
              <w:t xml:space="preserve">- Brak formalnych ograniczeń na liczbę tabel i indeksów w bazie danych oraz na ich rozmiar (liczbę wierszy). </w:t>
            </w:r>
          </w:p>
          <w:p w:rsidR="00965C5A" w:rsidRPr="0075776C" w:rsidRDefault="00965C5A" w:rsidP="00965C5A">
            <w:pPr>
              <w:pStyle w:val="Zwykytekst"/>
              <w:jc w:val="both"/>
              <w:rPr>
                <w:rFonts w:ascii="Times New Roman" w:hAnsi="Times New Roman" w:cs="Times New Roman"/>
              </w:rPr>
            </w:pPr>
            <w:r w:rsidRPr="0075776C">
              <w:rPr>
                <w:rFonts w:ascii="Times New Roman" w:hAnsi="Times New Roman" w:cs="Times New Roman"/>
              </w:rPr>
              <w:t>- Wsparcie dla procedur i funkcji składowanych w bazie danych. Język programowania powinien być językiem proceduralnym, blokowym (umożliwiającym deklarowanie zmiennych wewnątrz bloku), oraz wspierającym obsługę wyjątków. W przypadku, gdy wyjątek nie ma zadeklarowanej obsługi wewnątrz bloku, w razie jego wystąpienia wyjątek powinien być automatycznie propagowany do bloku nadrzędnego bądź wywołującej go jednostki programu.</w:t>
            </w:r>
          </w:p>
          <w:p w:rsidR="00965C5A" w:rsidRPr="0075776C" w:rsidRDefault="00965C5A" w:rsidP="00965C5A">
            <w:pPr>
              <w:pStyle w:val="Zwykytekst"/>
              <w:jc w:val="both"/>
              <w:rPr>
                <w:rFonts w:ascii="Times New Roman" w:hAnsi="Times New Roman" w:cs="Times New Roman"/>
              </w:rPr>
            </w:pPr>
            <w:r w:rsidRPr="0075776C">
              <w:rPr>
                <w:rFonts w:ascii="Times New Roman" w:hAnsi="Times New Roman" w:cs="Times New Roman"/>
              </w:rPr>
              <w:t>- Możliwość kompilacji procedur składowanych w bazie danych do postaci kodu binarnego.</w:t>
            </w:r>
          </w:p>
          <w:p w:rsidR="00965C5A" w:rsidRPr="0075776C" w:rsidRDefault="00965C5A" w:rsidP="00965C5A">
            <w:pPr>
              <w:pStyle w:val="Zwykytekst"/>
              <w:jc w:val="both"/>
              <w:rPr>
                <w:rFonts w:ascii="Times New Roman" w:hAnsi="Times New Roman" w:cs="Times New Roman"/>
              </w:rPr>
            </w:pPr>
            <w:r w:rsidRPr="0075776C">
              <w:rPr>
                <w:rFonts w:ascii="Times New Roman" w:hAnsi="Times New Roman" w:cs="Times New Roman"/>
              </w:rPr>
              <w:t>- Możliwość deklarowania wyzwalaczy (</w:t>
            </w:r>
            <w:proofErr w:type="spellStart"/>
            <w:r w:rsidRPr="0075776C">
              <w:rPr>
                <w:rFonts w:ascii="Times New Roman" w:hAnsi="Times New Roman" w:cs="Times New Roman"/>
              </w:rPr>
              <w:t>triggerów</w:t>
            </w:r>
            <w:proofErr w:type="spellEnd"/>
            <w:r w:rsidRPr="0075776C">
              <w:rPr>
                <w:rFonts w:ascii="Times New Roman" w:hAnsi="Times New Roman" w:cs="Times New Roman"/>
              </w:rPr>
              <w:t xml:space="preserve">) na poziomie instrukcji DML (INSERT, UPDATE, DELETE) wykonywanej na tabeli, poziomie każdego wiersza modyfikowanego przez instrukcję DML oraz na poziomie zdarzeń bazy danych (np. próba wykonania instrukcji DDL, start serwera, stop </w:t>
            </w:r>
          </w:p>
          <w:p w:rsidR="00965C5A" w:rsidRPr="0075776C" w:rsidRDefault="00965C5A" w:rsidP="00965C5A">
            <w:pPr>
              <w:pStyle w:val="Zwykytekst"/>
              <w:jc w:val="both"/>
              <w:rPr>
                <w:rFonts w:ascii="Times New Roman" w:hAnsi="Times New Roman" w:cs="Times New Roman"/>
              </w:rPr>
            </w:pPr>
            <w:r w:rsidRPr="0075776C">
              <w:rPr>
                <w:rFonts w:ascii="Times New Roman" w:hAnsi="Times New Roman" w:cs="Times New Roman"/>
              </w:rPr>
              <w:t>serwera, próba zalogowania użytkownika, wystąpienie specyficznego błędu w serwerze). Ponadto mechanizm wyzwalaczy powinien umożliwiać oprogramowanie obsługi instrukcji DML (INSERT, UPDATE, DELETE) wykonywanych na tzw. niemodyfikowalnych widokach (</w:t>
            </w:r>
            <w:proofErr w:type="spellStart"/>
            <w:r w:rsidRPr="0075776C">
              <w:rPr>
                <w:rFonts w:ascii="Times New Roman" w:hAnsi="Times New Roman" w:cs="Times New Roman"/>
              </w:rPr>
              <w:t>views</w:t>
            </w:r>
            <w:proofErr w:type="spellEnd"/>
            <w:r w:rsidRPr="0075776C">
              <w:rPr>
                <w:rFonts w:ascii="Times New Roman" w:hAnsi="Times New Roman" w:cs="Times New Roman"/>
              </w:rPr>
              <w:t>).</w:t>
            </w:r>
          </w:p>
          <w:p w:rsidR="00965C5A" w:rsidRPr="0075776C" w:rsidRDefault="00965C5A" w:rsidP="00965C5A">
            <w:pPr>
              <w:pStyle w:val="Zwykytekst"/>
              <w:jc w:val="both"/>
              <w:rPr>
                <w:rFonts w:ascii="Times New Roman" w:hAnsi="Times New Roman" w:cs="Times New Roman"/>
              </w:rPr>
            </w:pPr>
            <w:r w:rsidRPr="0075776C">
              <w:rPr>
                <w:rFonts w:ascii="Times New Roman" w:hAnsi="Times New Roman" w:cs="Times New Roman"/>
              </w:rPr>
              <w:t>- W przypadku, gdy w wyzwalaczu na poziomie instrukcji DML wystąpi błąd zgłoszony przez motor bazy danych bądź ustawiony wyjątek w kodzie wyzwalacza, wykonywana instrukcja DML musi być automatycznie wycofana przez serwer bazy danych, zaś stan transakcji po wycofaniu musi odzwierciedlać chwilę przed rozpoczęciem instrukcji w której wystąpił ww. błąd lub wyjątek.</w:t>
            </w:r>
          </w:p>
          <w:p w:rsidR="00965C5A" w:rsidRPr="0075776C" w:rsidRDefault="00965C5A" w:rsidP="00965C5A">
            <w:pPr>
              <w:pStyle w:val="Zwykytekst"/>
              <w:jc w:val="both"/>
              <w:rPr>
                <w:rFonts w:ascii="Times New Roman" w:hAnsi="Times New Roman" w:cs="Times New Roman"/>
              </w:rPr>
            </w:pPr>
            <w:r w:rsidRPr="0075776C">
              <w:rPr>
                <w:rFonts w:ascii="Times New Roman" w:hAnsi="Times New Roman" w:cs="Times New Roman"/>
              </w:rPr>
              <w:t>- Baza danych powinna umożliwiać na wymuszanie złożoności hasła użytkownika, czasu życia hasła, sprawdzanie historii haseł, blokowanie konta przez administratora bądź w przypadku przekroczenia limitu nieudanych logowań.</w:t>
            </w:r>
          </w:p>
          <w:p w:rsidR="00965C5A" w:rsidRPr="0075776C" w:rsidRDefault="00965C5A" w:rsidP="00965C5A">
            <w:pPr>
              <w:pStyle w:val="Zwykytekst"/>
              <w:jc w:val="both"/>
              <w:rPr>
                <w:rFonts w:ascii="Times New Roman" w:hAnsi="Times New Roman" w:cs="Times New Roman"/>
              </w:rPr>
            </w:pPr>
            <w:r w:rsidRPr="0075776C">
              <w:rPr>
                <w:rFonts w:ascii="Times New Roman" w:hAnsi="Times New Roman" w:cs="Times New Roman"/>
              </w:rPr>
              <w:t xml:space="preserve">- Przywileje użytkowników bazy danych powinny być określane za pomocą przywilejów systemowych (np. prawo do podłączenia się do bazy danych - czyli utworzenia sesji, prawo do tworzenia tabel itd.) oraz przywilejów dostępu do obiektów aplikacyjnych (np. odczytu / modyfikacji tabeli, wykonania procedury). Baza danych powinna umożliwiać nadawanie ww. przywilejów za pośrednictwem mechanizmu grup użytkowników / ról bazodanowych. W danej chwili użytkownik może mieć aktywny </w:t>
            </w:r>
            <w:r w:rsidRPr="0075776C">
              <w:rPr>
                <w:rFonts w:ascii="Times New Roman" w:hAnsi="Times New Roman" w:cs="Times New Roman"/>
              </w:rPr>
              <w:lastRenderedPageBreak/>
              <w:t>dowolny podzbiór nadanych ról bazodanowych.</w:t>
            </w:r>
          </w:p>
          <w:p w:rsidR="00965C5A" w:rsidRPr="0075776C" w:rsidRDefault="00965C5A" w:rsidP="00965C5A">
            <w:pPr>
              <w:pStyle w:val="Zwykytekst"/>
              <w:jc w:val="both"/>
              <w:rPr>
                <w:rFonts w:ascii="Times New Roman" w:hAnsi="Times New Roman" w:cs="Times New Roman"/>
              </w:rPr>
            </w:pPr>
            <w:r w:rsidRPr="0075776C">
              <w:rPr>
                <w:rFonts w:ascii="Times New Roman" w:hAnsi="Times New Roman" w:cs="Times New Roman"/>
              </w:rPr>
              <w:t xml:space="preserve">- Możliwość wykonywania i katalogowania kopii bezpieczeństwa bezpośrednio przez serwer bazy danych. Możliwość zautomatyzowanego usuwania zbędnych kopii bezpieczeństwa przy zachowaniu odpowiedniej liczby kopii nadmiarowych - stosownie do założonej polityki nadmiarowości </w:t>
            </w:r>
            <w:proofErr w:type="spellStart"/>
            <w:r w:rsidRPr="0075776C">
              <w:rPr>
                <w:rFonts w:ascii="Times New Roman" w:hAnsi="Times New Roman" w:cs="Times New Roman"/>
              </w:rPr>
              <w:t>backup'ów</w:t>
            </w:r>
            <w:proofErr w:type="spellEnd"/>
            <w:r w:rsidRPr="0075776C">
              <w:rPr>
                <w:rFonts w:ascii="Times New Roman" w:hAnsi="Times New Roman" w:cs="Times New Roman"/>
              </w:rPr>
              <w:t xml:space="preserve">. Możliwość integracji z powszechnie stosowanymi systemami backupu (Legato, Veritas, Tivoli, Data </w:t>
            </w:r>
            <w:proofErr w:type="spellStart"/>
            <w:r w:rsidRPr="0075776C">
              <w:rPr>
                <w:rFonts w:ascii="Times New Roman" w:hAnsi="Times New Roman" w:cs="Times New Roman"/>
              </w:rPr>
              <w:t>Protector</w:t>
            </w:r>
            <w:proofErr w:type="spellEnd"/>
            <w:r w:rsidR="005A15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776C">
              <w:rPr>
                <w:rFonts w:ascii="Times New Roman" w:hAnsi="Times New Roman" w:cs="Times New Roman"/>
              </w:rPr>
              <w:t>itd</w:t>
            </w:r>
            <w:proofErr w:type="spellEnd"/>
            <w:r w:rsidRPr="0075776C">
              <w:rPr>
                <w:rFonts w:ascii="Times New Roman" w:hAnsi="Times New Roman" w:cs="Times New Roman"/>
              </w:rPr>
              <w:t>). Wykonywanie kopii bezpieczeństwa powinno być możliwe w trybie offline oraz w trybie online.</w:t>
            </w:r>
          </w:p>
          <w:p w:rsidR="00965C5A" w:rsidRPr="0075776C" w:rsidRDefault="00965C5A" w:rsidP="00965C5A">
            <w:pPr>
              <w:pStyle w:val="Zwykytekst"/>
              <w:jc w:val="both"/>
              <w:rPr>
                <w:rFonts w:ascii="Times New Roman" w:hAnsi="Times New Roman" w:cs="Times New Roman"/>
              </w:rPr>
            </w:pPr>
            <w:r w:rsidRPr="0075776C">
              <w:rPr>
                <w:rFonts w:ascii="Times New Roman" w:hAnsi="Times New Roman" w:cs="Times New Roman"/>
              </w:rPr>
              <w:t>- Możliwość wykonywania kopii bezpieczeństwa w trybie online (hot backup).</w:t>
            </w:r>
          </w:p>
          <w:p w:rsidR="00965C5A" w:rsidRPr="0075776C" w:rsidRDefault="00965C5A" w:rsidP="00965C5A">
            <w:pPr>
              <w:pStyle w:val="Zwykytekst"/>
              <w:jc w:val="both"/>
              <w:rPr>
                <w:rFonts w:ascii="Times New Roman" w:hAnsi="Times New Roman" w:cs="Times New Roman"/>
              </w:rPr>
            </w:pPr>
            <w:r w:rsidRPr="0075776C">
              <w:rPr>
                <w:rFonts w:ascii="Times New Roman" w:hAnsi="Times New Roman" w:cs="Times New Roman"/>
              </w:rPr>
              <w:t>- Odtwarzanie powinno umożliwiać odzyskanie stanu danych z chwili wystąpienia awarii bądź cofnąć stan bazy danych do punktu w czasie. W przypadku odtwarzania do stanu z chwili wystąpienia awarii odtwarzaniu może podlegać cała baza danych bądź pojedyncze pliki danych.</w:t>
            </w:r>
          </w:p>
          <w:p w:rsidR="00965C5A" w:rsidRPr="0075776C" w:rsidRDefault="00965C5A" w:rsidP="00965C5A">
            <w:pPr>
              <w:pStyle w:val="Zwykytekst"/>
              <w:jc w:val="both"/>
              <w:rPr>
                <w:rFonts w:ascii="Times New Roman" w:hAnsi="Times New Roman" w:cs="Times New Roman"/>
              </w:rPr>
            </w:pPr>
            <w:r w:rsidRPr="0075776C">
              <w:rPr>
                <w:rFonts w:ascii="Times New Roman" w:hAnsi="Times New Roman" w:cs="Times New Roman"/>
              </w:rPr>
              <w:t>- W przypadku, gdy odtwarzaniu podlegają pojedyncze pliki bazy danych, pozostałe pliki baz danych mogą być dostępne dla użytkowników.</w:t>
            </w:r>
          </w:p>
          <w:p w:rsidR="00965C5A" w:rsidRPr="0075776C" w:rsidRDefault="00965C5A" w:rsidP="00965C5A">
            <w:pPr>
              <w:pStyle w:val="Zwykytekst"/>
              <w:jc w:val="both"/>
              <w:rPr>
                <w:rFonts w:ascii="Times New Roman" w:hAnsi="Times New Roman" w:cs="Times New Roman"/>
              </w:rPr>
            </w:pPr>
            <w:r w:rsidRPr="0075776C">
              <w:rPr>
                <w:rFonts w:ascii="Times New Roman" w:hAnsi="Times New Roman" w:cs="Times New Roman"/>
              </w:rPr>
              <w:t>- Wsparcie dla typu danych DICOM obsługiwanego wewnętrznie przez serwer bazy danych.</w:t>
            </w:r>
          </w:p>
          <w:p w:rsidR="00965C5A" w:rsidRPr="0075776C" w:rsidRDefault="00965C5A" w:rsidP="00965C5A">
            <w:pPr>
              <w:pStyle w:val="Zwykytekst"/>
              <w:jc w:val="both"/>
              <w:rPr>
                <w:rFonts w:ascii="Times New Roman" w:hAnsi="Times New Roman" w:cs="Times New Roman"/>
              </w:rPr>
            </w:pPr>
            <w:r w:rsidRPr="0075776C">
              <w:rPr>
                <w:rFonts w:ascii="Times New Roman" w:hAnsi="Times New Roman" w:cs="Times New Roman"/>
              </w:rPr>
              <w:t>- Możliwość zakładania w tabelach kolumn typu obsługującego standard DICOM.</w:t>
            </w:r>
          </w:p>
          <w:p w:rsidR="00965C5A" w:rsidRPr="0075776C" w:rsidRDefault="00965C5A" w:rsidP="00965C5A">
            <w:pPr>
              <w:pStyle w:val="Zwykytekst"/>
              <w:jc w:val="both"/>
              <w:rPr>
                <w:rFonts w:ascii="Times New Roman" w:hAnsi="Times New Roman" w:cs="Times New Roman"/>
              </w:rPr>
            </w:pPr>
            <w:r w:rsidRPr="0075776C">
              <w:rPr>
                <w:rFonts w:ascii="Times New Roman" w:hAnsi="Times New Roman" w:cs="Times New Roman"/>
              </w:rPr>
              <w:t>- Możliwość przeszukiwania zakładania indeksów na grupie atrybutów metadanych składowanych w kolumnach przechowujących dane w formacie DICOM.</w:t>
            </w:r>
          </w:p>
          <w:p w:rsidR="00965C5A" w:rsidRPr="0075776C" w:rsidRDefault="00965C5A" w:rsidP="00965C5A">
            <w:pPr>
              <w:pStyle w:val="Zwykytekst"/>
              <w:jc w:val="both"/>
              <w:rPr>
                <w:rFonts w:ascii="Times New Roman" w:hAnsi="Times New Roman" w:cs="Times New Roman"/>
              </w:rPr>
            </w:pPr>
            <w:r w:rsidRPr="0075776C">
              <w:rPr>
                <w:rFonts w:ascii="Times New Roman" w:hAnsi="Times New Roman" w:cs="Times New Roman"/>
              </w:rPr>
              <w:t>- Możliwość przeszukiwania metadanych</w:t>
            </w:r>
          </w:p>
          <w:p w:rsidR="00965C5A" w:rsidRPr="0075776C" w:rsidRDefault="00965C5A" w:rsidP="00965C5A">
            <w:pPr>
              <w:pStyle w:val="Zwykytekst"/>
              <w:jc w:val="both"/>
              <w:rPr>
                <w:rFonts w:ascii="Times New Roman" w:hAnsi="Times New Roman" w:cs="Times New Roman"/>
              </w:rPr>
            </w:pPr>
            <w:r w:rsidRPr="0075776C">
              <w:rPr>
                <w:rFonts w:ascii="Times New Roman" w:hAnsi="Times New Roman" w:cs="Times New Roman"/>
              </w:rPr>
              <w:tab/>
              <w:t>* wszystkich bądź niektórych atrybutów,</w:t>
            </w:r>
          </w:p>
          <w:p w:rsidR="00965C5A" w:rsidRPr="0075776C" w:rsidRDefault="00965C5A" w:rsidP="00965C5A">
            <w:pPr>
              <w:pStyle w:val="Zwykytekst"/>
              <w:jc w:val="both"/>
              <w:rPr>
                <w:rFonts w:ascii="Times New Roman" w:hAnsi="Times New Roman" w:cs="Times New Roman"/>
              </w:rPr>
            </w:pPr>
            <w:r w:rsidRPr="0075776C">
              <w:rPr>
                <w:rFonts w:ascii="Times New Roman" w:hAnsi="Times New Roman" w:cs="Times New Roman"/>
              </w:rPr>
              <w:tab/>
              <w:t>* możliwość zakładania indeksów na wybranych atrybutach,</w:t>
            </w:r>
          </w:p>
          <w:p w:rsidR="00965C5A" w:rsidRPr="0075776C" w:rsidRDefault="00965C5A" w:rsidP="00965C5A">
            <w:pPr>
              <w:pStyle w:val="Zwykytekst"/>
              <w:jc w:val="both"/>
              <w:rPr>
                <w:rFonts w:ascii="Times New Roman" w:hAnsi="Times New Roman" w:cs="Times New Roman"/>
              </w:rPr>
            </w:pPr>
            <w:r w:rsidRPr="0075776C">
              <w:rPr>
                <w:rFonts w:ascii="Times New Roman" w:hAnsi="Times New Roman" w:cs="Times New Roman"/>
              </w:rPr>
              <w:tab/>
              <w:t>* możliwość wyszukiwania pełno tekstowego,</w:t>
            </w:r>
          </w:p>
          <w:p w:rsidR="00965C5A" w:rsidRPr="0075776C" w:rsidRDefault="00965C5A" w:rsidP="00965C5A">
            <w:pPr>
              <w:pStyle w:val="Zwykytekst"/>
              <w:jc w:val="both"/>
              <w:rPr>
                <w:rFonts w:ascii="Times New Roman" w:hAnsi="Times New Roman" w:cs="Times New Roman"/>
              </w:rPr>
            </w:pPr>
            <w:r w:rsidRPr="0075776C">
              <w:rPr>
                <w:rFonts w:ascii="Times New Roman" w:hAnsi="Times New Roman" w:cs="Times New Roman"/>
              </w:rPr>
              <w:tab/>
              <w:t>* możliwość nawigacji zgodnej z hierarchią atrybutów.</w:t>
            </w:r>
          </w:p>
          <w:p w:rsidR="00965C5A" w:rsidRPr="0075776C" w:rsidRDefault="00965C5A" w:rsidP="00965C5A">
            <w:pPr>
              <w:pStyle w:val="Zwykytekst"/>
              <w:jc w:val="both"/>
              <w:rPr>
                <w:rFonts w:ascii="Times New Roman" w:hAnsi="Times New Roman" w:cs="Times New Roman"/>
              </w:rPr>
            </w:pPr>
            <w:r w:rsidRPr="0075776C">
              <w:rPr>
                <w:rFonts w:ascii="Times New Roman" w:hAnsi="Times New Roman" w:cs="Times New Roman"/>
              </w:rPr>
              <w:t>- Składowanie metadanych DICOM i treści DICOM odbywa się wewnątrz bazy danych.</w:t>
            </w:r>
          </w:p>
          <w:p w:rsidR="00965C5A" w:rsidRPr="0075776C" w:rsidRDefault="00965C5A" w:rsidP="00965C5A">
            <w:pPr>
              <w:pStyle w:val="Zwykytekst"/>
              <w:jc w:val="both"/>
              <w:rPr>
                <w:rFonts w:ascii="Times New Roman" w:hAnsi="Times New Roman" w:cs="Times New Roman"/>
              </w:rPr>
            </w:pPr>
            <w:r w:rsidRPr="0075776C">
              <w:rPr>
                <w:rFonts w:ascii="Times New Roman" w:hAnsi="Times New Roman" w:cs="Times New Roman"/>
              </w:rPr>
              <w:t>- Operowanie na danych DICOM za pomocą konstrukcji języka SQL, procedur składowanych, dostęp za pomocą Java API.</w:t>
            </w:r>
          </w:p>
          <w:p w:rsidR="00965C5A" w:rsidRPr="0075776C" w:rsidRDefault="00965C5A" w:rsidP="00965C5A">
            <w:pPr>
              <w:pStyle w:val="Zwykytekst"/>
              <w:jc w:val="both"/>
              <w:rPr>
                <w:rFonts w:ascii="Times New Roman" w:hAnsi="Times New Roman" w:cs="Times New Roman"/>
              </w:rPr>
            </w:pPr>
            <w:r w:rsidRPr="0075776C">
              <w:rPr>
                <w:rFonts w:ascii="Times New Roman" w:hAnsi="Times New Roman" w:cs="Times New Roman"/>
              </w:rPr>
              <w:t>- Wbudowane mechanizmy konwersji treści DICOM do formatów JPEG, GIF, MPEG, AVI.</w:t>
            </w:r>
          </w:p>
          <w:p w:rsidR="00965C5A" w:rsidRPr="0075776C" w:rsidRDefault="00965C5A" w:rsidP="00965C5A">
            <w:pPr>
              <w:pStyle w:val="Zwykytekst"/>
              <w:jc w:val="both"/>
              <w:rPr>
                <w:rFonts w:ascii="Times New Roman" w:hAnsi="Times New Roman" w:cs="Times New Roman"/>
              </w:rPr>
            </w:pPr>
            <w:r w:rsidRPr="0075776C">
              <w:rPr>
                <w:rFonts w:ascii="Times New Roman" w:hAnsi="Times New Roman" w:cs="Times New Roman"/>
              </w:rPr>
              <w:t xml:space="preserve">- możliwość budowy </w:t>
            </w:r>
            <w:proofErr w:type="spellStart"/>
            <w:r w:rsidRPr="0075776C">
              <w:rPr>
                <w:rFonts w:ascii="Times New Roman" w:hAnsi="Times New Roman" w:cs="Times New Roman"/>
              </w:rPr>
              <w:t>klastra</w:t>
            </w:r>
            <w:proofErr w:type="spellEnd"/>
            <w:r w:rsidRPr="0075776C">
              <w:rPr>
                <w:rFonts w:ascii="Times New Roman" w:hAnsi="Times New Roman" w:cs="Times New Roman"/>
              </w:rPr>
              <w:t xml:space="preserve"> typu </w:t>
            </w:r>
            <w:proofErr w:type="spellStart"/>
            <w:r w:rsidRPr="0075776C">
              <w:rPr>
                <w:rFonts w:ascii="Times New Roman" w:hAnsi="Times New Roman" w:cs="Times New Roman"/>
              </w:rPr>
              <w:t>active-active</w:t>
            </w:r>
            <w:proofErr w:type="spellEnd"/>
            <w:r w:rsidRPr="0075776C">
              <w:rPr>
                <w:rFonts w:ascii="Times New Roman" w:hAnsi="Times New Roman" w:cs="Times New Roman"/>
              </w:rPr>
              <w:t xml:space="preserve"> opartego o maksymalnie 2 węzły (maksymalnie 2 x 1 CPU)</w:t>
            </w:r>
          </w:p>
          <w:p w:rsidR="00965C5A" w:rsidRPr="0075776C" w:rsidRDefault="00965C5A" w:rsidP="00965C5A">
            <w:pPr>
              <w:pStyle w:val="Zwykytekst"/>
              <w:jc w:val="both"/>
              <w:rPr>
                <w:rFonts w:ascii="Times New Roman" w:hAnsi="Times New Roman" w:cs="Times New Roman"/>
              </w:rPr>
            </w:pPr>
            <w:r w:rsidRPr="0075776C">
              <w:rPr>
                <w:rFonts w:ascii="Times New Roman" w:hAnsi="Times New Roman" w:cs="Times New Roman"/>
              </w:rPr>
              <w:t>- Możliwość zwiększenia przepustowości bazy danych poprzez uruchomienie dodatkowych serwerów obsługujących tą samą bazę danych (w klastrze).</w:t>
            </w:r>
          </w:p>
          <w:p w:rsidR="00965C5A" w:rsidRPr="0075776C" w:rsidRDefault="00965C5A" w:rsidP="00965C5A">
            <w:pPr>
              <w:pStyle w:val="Zwykytekst"/>
              <w:jc w:val="both"/>
              <w:rPr>
                <w:rFonts w:ascii="Times New Roman" w:hAnsi="Times New Roman" w:cs="Times New Roman"/>
              </w:rPr>
            </w:pPr>
            <w:r w:rsidRPr="0075776C">
              <w:rPr>
                <w:rFonts w:ascii="Times New Roman" w:hAnsi="Times New Roman" w:cs="Times New Roman"/>
              </w:rPr>
              <w:t xml:space="preserve">- Zwiększenie bądź zmniejszenie liczby serwerów obsługujących klastrową bazę danych nie może powodować konieczności reorganizacji fizycznej (zmiana organizacji plików danych) oraz logicznej struktury baz danych (tabel / indeksów). </w:t>
            </w:r>
          </w:p>
          <w:p w:rsidR="00965C5A" w:rsidRPr="0075776C" w:rsidRDefault="00965C5A" w:rsidP="00965C5A">
            <w:pPr>
              <w:pStyle w:val="Zwykytekst"/>
              <w:jc w:val="both"/>
              <w:rPr>
                <w:rFonts w:ascii="Times New Roman" w:hAnsi="Times New Roman" w:cs="Times New Roman"/>
              </w:rPr>
            </w:pPr>
            <w:r w:rsidRPr="0075776C">
              <w:rPr>
                <w:rFonts w:ascii="Times New Roman" w:hAnsi="Times New Roman" w:cs="Times New Roman"/>
              </w:rPr>
              <w:t xml:space="preserve">- Unieruchomienie jednego z serwerów bazy danych nie może powodować braku dostępu do jakiejkolwiek części danych – baza danych musi być nadal dostępna za pośrednictwem funkcjonujących dalej serwerów </w:t>
            </w:r>
          </w:p>
          <w:p w:rsidR="00965C5A" w:rsidRPr="0075776C" w:rsidRDefault="00965C5A" w:rsidP="00965C5A">
            <w:pPr>
              <w:pStyle w:val="Zwykytekst"/>
              <w:jc w:val="both"/>
              <w:rPr>
                <w:rFonts w:ascii="Times New Roman" w:hAnsi="Times New Roman" w:cs="Times New Roman"/>
              </w:rPr>
            </w:pPr>
            <w:r w:rsidRPr="0075776C">
              <w:rPr>
                <w:rFonts w:ascii="Times New Roman" w:hAnsi="Times New Roman" w:cs="Times New Roman"/>
              </w:rPr>
              <w:t>- Możliwość kontynuacji pracy użytkowników podłączonych do serwera klastrowej bazy danych, który uległ awarii. Powinna istnieć możliwość przeniesienia sesji na inny serwer oraz automatycznego powiadomienia aplikacji o wykonaniu przełączenia.</w:t>
            </w:r>
          </w:p>
          <w:p w:rsidR="00965C5A" w:rsidRPr="00965C5A" w:rsidRDefault="00965C5A" w:rsidP="00965C5A">
            <w:pPr>
              <w:pStyle w:val="Zwykytekst"/>
              <w:jc w:val="both"/>
              <w:rPr>
                <w:rFonts w:ascii="Times New Roman" w:hAnsi="Times New Roman" w:cs="Times New Roman"/>
              </w:rPr>
            </w:pPr>
            <w:r w:rsidRPr="0075776C">
              <w:rPr>
                <w:rFonts w:ascii="Times New Roman" w:hAnsi="Times New Roman" w:cs="Times New Roman"/>
              </w:rPr>
              <w:t>- Obraz bazy danych (metadane, obiekty bazy danych, stan danych) w klastrowej bazie danych musi być niezależny od serwera do które</w:t>
            </w:r>
            <w:r>
              <w:rPr>
                <w:rFonts w:ascii="Times New Roman" w:hAnsi="Times New Roman" w:cs="Times New Roman"/>
              </w:rPr>
              <w:t>go zostało nawiązane połączenie.</w:t>
            </w:r>
          </w:p>
        </w:tc>
      </w:tr>
      <w:tr w:rsidR="00185995" w:rsidRPr="0075776C" w:rsidTr="00ED35D2">
        <w:trPr>
          <w:trHeight w:val="1480"/>
          <w:jc w:val="center"/>
        </w:trPr>
        <w:tc>
          <w:tcPr>
            <w:tcW w:w="1843" w:type="dxa"/>
            <w:gridSpan w:val="2"/>
          </w:tcPr>
          <w:p w:rsidR="00185995" w:rsidRPr="0075776C" w:rsidRDefault="00185995" w:rsidP="00BA192A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Konfiguracja</w:t>
            </w:r>
          </w:p>
        </w:tc>
        <w:tc>
          <w:tcPr>
            <w:tcW w:w="8682" w:type="dxa"/>
            <w:gridSpan w:val="4"/>
          </w:tcPr>
          <w:p w:rsidR="00185995" w:rsidRDefault="00185995" w:rsidP="00965C5A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Wykonawca skonfiguruje tworzenie kopii zapasowych bazy danych na dyski lokalne (</w:t>
            </w:r>
            <w:r w:rsidR="008F0332">
              <w:rPr>
                <w:rFonts w:ascii="Times New Roman" w:hAnsi="Times New Roman"/>
                <w:sz w:val="20"/>
                <w:szCs w:val="20"/>
              </w:rPr>
              <w:t xml:space="preserve">w trybie </w:t>
            </w:r>
            <w:r>
              <w:rPr>
                <w:rFonts w:ascii="Times New Roman" w:hAnsi="Times New Roman"/>
                <w:sz w:val="20"/>
                <w:szCs w:val="20"/>
              </w:rPr>
              <w:t>online) wraz z kopiowaniem na udostępniony na serwerze zasób dyskowy na macierzy. Konfiguracja powinna pozwalać na pełne odzyskanie bazy danych z chwili wystąpienia awarii.</w:t>
            </w:r>
          </w:p>
          <w:p w:rsidR="00185995" w:rsidRDefault="00185995" w:rsidP="00965C5A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Wykonawca w bezpieczny sposób przekaże Zamawiającemu loginy i hasła do wszystkich kont użytkowników utworzonych podczas instalacji w tym w szczególności do głównego konta administracyjnego bazy danych.</w:t>
            </w:r>
            <w:bookmarkStart w:id="0" w:name="_GoBack"/>
            <w:bookmarkEnd w:id="0"/>
          </w:p>
          <w:p w:rsidR="00D71F93" w:rsidRDefault="00D71F93" w:rsidP="00965C5A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Wykonawca opracuje i przekaże Zamawiającemu procedury opisujące kompletną instalację serwera wraz z bazą danych oraz </w:t>
            </w:r>
            <w:r w:rsidR="00ED340D">
              <w:rPr>
                <w:rFonts w:ascii="Times New Roman" w:hAnsi="Times New Roman"/>
                <w:sz w:val="20"/>
                <w:szCs w:val="20"/>
              </w:rPr>
              <w:t>tworzenie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odtwarzanie kopii zapasowych (zgodnie z</w:t>
            </w:r>
            <w:r w:rsidR="00043FE1">
              <w:rPr>
                <w:rFonts w:ascii="Times New Roman" w:hAnsi="Times New Roman"/>
                <w:sz w:val="20"/>
                <w:szCs w:val="20"/>
              </w:rPr>
              <w:t>e wcześniej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wykonaną przez Wykonawcę konfiguracją)</w:t>
            </w:r>
            <w:r w:rsidR="002B733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71F93" w:rsidRPr="0075776C" w:rsidRDefault="00D71F93" w:rsidP="00965C5A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Wykonawca przed produkcyjnym uruchomieniem bazy przeszkoli min. 2 os. wskazane przez Zamawiającego w zakresie wykonywania i przywracania kopii bezpieczeństwa bazy danych zgodnie z pow. procedurą. Szkolenie musi obejmować co najmniej wykonanie i odtworzenie kopii bezpieczeństwa </w:t>
            </w:r>
            <w:r w:rsidR="009621D0">
              <w:rPr>
                <w:rFonts w:ascii="Times New Roman" w:hAnsi="Times New Roman"/>
                <w:sz w:val="20"/>
                <w:szCs w:val="20"/>
              </w:rPr>
              <w:t>na przygotowanym przez Wykonawcę środowisku.</w:t>
            </w:r>
          </w:p>
        </w:tc>
      </w:tr>
      <w:tr w:rsidR="00ED35D2" w:rsidRPr="00ED35D2" w:rsidTr="00ED35D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gridBefore w:val="1"/>
          <w:gridAfter w:val="1"/>
          <w:wBefore w:w="93" w:type="dxa"/>
          <w:wAfter w:w="996" w:type="dxa"/>
          <w:trHeight w:val="255"/>
        </w:trPr>
        <w:tc>
          <w:tcPr>
            <w:tcW w:w="2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5D2" w:rsidRPr="00ED35D2" w:rsidRDefault="00ED35D2" w:rsidP="00ED35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5D2" w:rsidRPr="00ED35D2" w:rsidRDefault="00ED35D2" w:rsidP="00ED35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5D2" w:rsidRDefault="00ED35D2" w:rsidP="00ED35D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</w:p>
          <w:p w:rsidR="00ED35D2" w:rsidRDefault="00ED35D2" w:rsidP="00ED35D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</w:p>
          <w:p w:rsidR="006D5D23" w:rsidRDefault="006D5D23" w:rsidP="00ED35D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</w:p>
          <w:p w:rsidR="006D5D23" w:rsidRDefault="006D5D23" w:rsidP="00ED35D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</w:p>
          <w:p w:rsidR="00ED35D2" w:rsidRDefault="00ED35D2" w:rsidP="00ED35D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  <w:r>
              <w:rPr>
                <w:rFonts w:ascii="Arial CE" w:eastAsia="Times New Roman" w:hAnsi="Arial CE" w:cs="Times New Roman" w:hint="eastAsia"/>
                <w:sz w:val="18"/>
                <w:szCs w:val="18"/>
                <w:lang w:eastAsia="pl-PL"/>
              </w:rPr>
              <w:t>……………………………………</w:t>
            </w:r>
          </w:p>
          <w:p w:rsidR="00ED35D2" w:rsidRPr="00ED35D2" w:rsidRDefault="00ED35D2" w:rsidP="00ED35D2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</w:pPr>
            <w:r w:rsidRPr="00ED35D2">
              <w:rPr>
                <w:rFonts w:ascii="Arial CE" w:eastAsia="Times New Roman" w:hAnsi="Arial CE" w:cs="Times New Roman"/>
                <w:sz w:val="16"/>
                <w:szCs w:val="16"/>
                <w:lang w:eastAsia="pl-PL"/>
              </w:rPr>
              <w:t>Podpis osoby upoważnionej do reprezentowania firmy</w:t>
            </w:r>
          </w:p>
        </w:tc>
      </w:tr>
      <w:tr w:rsidR="00ED35D2" w:rsidRPr="00ED35D2" w:rsidTr="00ED35D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gridBefore w:val="1"/>
          <w:gridAfter w:val="1"/>
          <w:wBefore w:w="93" w:type="dxa"/>
          <w:wAfter w:w="996" w:type="dxa"/>
          <w:trHeight w:val="390"/>
        </w:trPr>
        <w:tc>
          <w:tcPr>
            <w:tcW w:w="2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5D2" w:rsidRPr="00ED35D2" w:rsidRDefault="00ED35D2" w:rsidP="00ED35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5D2" w:rsidRPr="00ED35D2" w:rsidRDefault="00ED35D2" w:rsidP="00ED35D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5D2" w:rsidRPr="00ED35D2" w:rsidRDefault="00ED35D2" w:rsidP="00ED35D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pl-PL"/>
              </w:rPr>
            </w:pPr>
          </w:p>
        </w:tc>
      </w:tr>
    </w:tbl>
    <w:p w:rsidR="00107420" w:rsidRDefault="00107420" w:rsidP="00E11360"/>
    <w:sectPr w:rsidR="00107420" w:rsidSect="006D5D23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65C5A"/>
    <w:rsid w:val="00043FE1"/>
    <w:rsid w:val="00107420"/>
    <w:rsid w:val="00185995"/>
    <w:rsid w:val="002B7332"/>
    <w:rsid w:val="004E6178"/>
    <w:rsid w:val="005A1503"/>
    <w:rsid w:val="006D5D23"/>
    <w:rsid w:val="00854A17"/>
    <w:rsid w:val="008F0332"/>
    <w:rsid w:val="00931DBF"/>
    <w:rsid w:val="009621D0"/>
    <w:rsid w:val="00965C5A"/>
    <w:rsid w:val="00AD018E"/>
    <w:rsid w:val="00B30844"/>
    <w:rsid w:val="00BA192A"/>
    <w:rsid w:val="00BE2F5B"/>
    <w:rsid w:val="00C15420"/>
    <w:rsid w:val="00D32D3D"/>
    <w:rsid w:val="00D71F93"/>
    <w:rsid w:val="00E11360"/>
    <w:rsid w:val="00ED340D"/>
    <w:rsid w:val="00ED35D2"/>
    <w:rsid w:val="00F37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73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965C5A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65C5A"/>
    <w:rPr>
      <w:rFonts w:ascii="Courier New" w:eastAsia="Calibri" w:hAnsi="Courier New" w:cs="Courier New"/>
      <w:sz w:val="20"/>
      <w:szCs w:val="20"/>
      <w:lang w:eastAsia="pl-PL"/>
    </w:rPr>
  </w:style>
  <w:style w:type="paragraph" w:styleId="Bezodstpw">
    <w:name w:val="No Spacing"/>
    <w:uiPriority w:val="1"/>
    <w:qFormat/>
    <w:rsid w:val="00965C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1263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Wilk</dc:creator>
  <cp:lastModifiedBy>spcsk</cp:lastModifiedBy>
  <cp:revision>8</cp:revision>
  <cp:lastPrinted>2016-07-19T09:31:00Z</cp:lastPrinted>
  <dcterms:created xsi:type="dcterms:W3CDTF">2016-07-19T09:31:00Z</dcterms:created>
  <dcterms:modified xsi:type="dcterms:W3CDTF">2016-07-20T10:02:00Z</dcterms:modified>
</cp:coreProperties>
</file>