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1C" w:rsidRPr="00CB25D2" w:rsidRDefault="002D621C" w:rsidP="007B12A5">
      <w:pPr>
        <w:pStyle w:val="Tytu"/>
        <w:tabs>
          <w:tab w:val="left" w:pos="5205"/>
        </w:tabs>
        <w:spacing w:after="120" w:line="240" w:lineRule="auto"/>
        <w:rPr>
          <w:rFonts w:asciiTheme="majorHAnsi" w:hAnsiTheme="majorHAnsi" w:cs="Arial"/>
          <w:b/>
          <w:bCs/>
          <w:sz w:val="22"/>
          <w:szCs w:val="22"/>
        </w:rPr>
      </w:pPr>
      <w:r w:rsidRPr="00CB25D2">
        <w:rPr>
          <w:rFonts w:asciiTheme="majorHAnsi" w:hAnsiTheme="majorHAnsi" w:cs="Arial"/>
          <w:b/>
          <w:bCs/>
          <w:sz w:val="22"/>
          <w:szCs w:val="22"/>
        </w:rPr>
        <w:t>Opis Przedmiotu Zamówienia</w:t>
      </w:r>
      <w:r w:rsidR="00E91626">
        <w:rPr>
          <w:rFonts w:asciiTheme="majorHAnsi" w:hAnsiTheme="majorHAnsi" w:cs="Arial"/>
          <w:b/>
          <w:bCs/>
          <w:sz w:val="22"/>
          <w:szCs w:val="22"/>
        </w:rPr>
        <w:br/>
      </w:r>
    </w:p>
    <w:p w:rsidR="00374939" w:rsidRPr="00CB25D2" w:rsidRDefault="00173868" w:rsidP="00FE17D9">
      <w:pPr>
        <w:pStyle w:val="Tytu"/>
        <w:spacing w:after="120" w:line="240" w:lineRule="auto"/>
        <w:jc w:val="left"/>
        <w:rPr>
          <w:rFonts w:asciiTheme="majorHAnsi" w:hAnsiTheme="majorHAnsi" w:cs="Arial"/>
          <w:b/>
          <w:bCs/>
          <w:sz w:val="22"/>
          <w:szCs w:val="22"/>
        </w:rPr>
      </w:pPr>
      <w:r w:rsidRPr="00CB25D2">
        <w:rPr>
          <w:rFonts w:asciiTheme="majorHAnsi" w:hAnsiTheme="majorHAnsi" w:cs="Arial"/>
          <w:b/>
          <w:bCs/>
          <w:sz w:val="22"/>
          <w:szCs w:val="22"/>
        </w:rPr>
        <w:t>Przenośne detektory</w:t>
      </w:r>
      <w:r w:rsidR="007D663A" w:rsidRPr="00CB25D2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11685E" w:rsidRPr="00CB25D2">
        <w:rPr>
          <w:rFonts w:asciiTheme="majorHAnsi" w:hAnsiTheme="majorHAnsi" w:cs="Arial"/>
          <w:b/>
          <w:bCs/>
          <w:sz w:val="22"/>
          <w:szCs w:val="22"/>
        </w:rPr>
        <w:t xml:space="preserve"> - </w:t>
      </w:r>
      <w:r w:rsidR="007C24C3" w:rsidRPr="00CB25D2">
        <w:rPr>
          <w:rFonts w:asciiTheme="majorHAnsi" w:hAnsiTheme="majorHAnsi" w:cs="Arial"/>
          <w:b/>
          <w:bCs/>
          <w:sz w:val="22"/>
          <w:szCs w:val="22"/>
        </w:rPr>
        <w:t xml:space="preserve">2 szt. </w:t>
      </w:r>
      <w:r w:rsidR="00FE17D9" w:rsidRPr="00CB25D2">
        <w:rPr>
          <w:rFonts w:asciiTheme="majorHAnsi" w:hAnsiTheme="majorHAnsi" w:cs="Arial"/>
          <w:b/>
          <w:bCs/>
          <w:sz w:val="22"/>
          <w:szCs w:val="22"/>
        </w:rPr>
        <w:t>dedykowane do współpracy z posiadanymi aparatami RTG</w:t>
      </w:r>
      <w:r w:rsidR="008F6B73" w:rsidRPr="00CB25D2">
        <w:rPr>
          <w:rFonts w:asciiTheme="majorHAnsi" w:hAnsiTheme="majorHAnsi" w:cs="Arial"/>
          <w:b/>
          <w:bCs/>
          <w:sz w:val="22"/>
          <w:szCs w:val="22"/>
        </w:rPr>
        <w:t xml:space="preserve"> POLYRAD PREMIUM produkcji Radiologia</w:t>
      </w:r>
      <w:r w:rsidR="00747CCF" w:rsidRPr="00CB25D2">
        <w:rPr>
          <w:rFonts w:asciiTheme="majorHAnsi" w:hAnsiTheme="majorHAnsi" w:cs="Arial"/>
          <w:b/>
          <w:bCs/>
          <w:sz w:val="22"/>
          <w:szCs w:val="22"/>
        </w:rPr>
        <w:t xml:space="preserve"> SA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74939" w:rsidRPr="00CB25D2" w:rsidTr="0019186D">
        <w:trPr>
          <w:trHeight w:val="347"/>
        </w:trPr>
        <w:tc>
          <w:tcPr>
            <w:tcW w:w="9493" w:type="dxa"/>
            <w:shd w:val="clear" w:color="auto" w:fill="D0CECE" w:themeFill="background2" w:themeFillShade="E6"/>
          </w:tcPr>
          <w:p w:rsidR="00374939" w:rsidRPr="00CB25D2" w:rsidRDefault="00374939" w:rsidP="00374939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0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0"/>
              </w:rPr>
              <w:t>Detektor</w:t>
            </w:r>
            <w:r w:rsidR="00555EF0">
              <w:rPr>
                <w:rFonts w:asciiTheme="majorHAnsi" w:hAnsiTheme="majorHAnsi" w:cs="Arial"/>
                <w:b/>
                <w:bCs/>
                <w:sz w:val="22"/>
                <w:szCs w:val="20"/>
              </w:rPr>
              <w:t xml:space="preserve"> do aparatu RTG </w:t>
            </w:r>
            <w:proofErr w:type="spellStart"/>
            <w:r w:rsidR="00555EF0">
              <w:rPr>
                <w:rFonts w:asciiTheme="majorHAnsi" w:hAnsiTheme="majorHAnsi" w:cs="Arial"/>
                <w:b/>
                <w:bCs/>
                <w:sz w:val="22"/>
                <w:szCs w:val="20"/>
              </w:rPr>
              <w:t>Polyrad</w:t>
            </w:r>
            <w:proofErr w:type="spellEnd"/>
            <w:r w:rsidR="00555EF0">
              <w:rPr>
                <w:rFonts w:asciiTheme="majorHAnsi" w:hAnsiTheme="majorHAnsi" w:cs="Arial"/>
                <w:b/>
                <w:bCs/>
                <w:sz w:val="22"/>
                <w:szCs w:val="20"/>
              </w:rPr>
              <w:t xml:space="preserve"> Premium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0"/>
              </w:rPr>
              <w:t xml:space="preserve"> dwustanowiskowego z jedną lampą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0"/>
              </w:rPr>
              <w:t>rtg</w:t>
            </w:r>
            <w:proofErr w:type="spellEnd"/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"/>
        <w:gridCol w:w="2690"/>
        <w:gridCol w:w="1406"/>
        <w:gridCol w:w="2268"/>
        <w:gridCol w:w="2552"/>
      </w:tblGrid>
      <w:tr w:rsidR="00FE17D9" w:rsidRPr="00CB25D2" w:rsidTr="0019186D">
        <w:trPr>
          <w:trHeight w:val="200"/>
        </w:trPr>
        <w:tc>
          <w:tcPr>
            <w:tcW w:w="3272" w:type="dxa"/>
            <w:gridSpan w:val="2"/>
            <w:tcMar>
              <w:top w:w="0" w:type="dxa"/>
              <w:bottom w:w="57" w:type="dxa"/>
            </w:tcMar>
          </w:tcPr>
          <w:p w:rsidR="00FE17D9" w:rsidRPr="00CB25D2" w:rsidRDefault="00FE17D9" w:rsidP="0040289C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Nazwa / typ  detekto</w:t>
            </w:r>
            <w:r w:rsidR="005E141B" w:rsidRPr="00CB25D2">
              <w:rPr>
                <w:rFonts w:asciiTheme="majorHAnsi" w:hAnsiTheme="majorHAnsi" w:cs="Arial"/>
                <w:sz w:val="22"/>
                <w:szCs w:val="22"/>
              </w:rPr>
              <w:t>ra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- podać</w:t>
            </w:r>
          </w:p>
        </w:tc>
        <w:tc>
          <w:tcPr>
            <w:tcW w:w="6226" w:type="dxa"/>
            <w:gridSpan w:val="3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</w:p>
        </w:tc>
      </w:tr>
      <w:tr w:rsidR="00FE17D9" w:rsidRPr="00CB25D2" w:rsidTr="0019186D">
        <w:trPr>
          <w:trHeight w:val="200"/>
        </w:trPr>
        <w:tc>
          <w:tcPr>
            <w:tcW w:w="3272" w:type="dxa"/>
            <w:gridSpan w:val="2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Producent - podać</w:t>
            </w:r>
          </w:p>
        </w:tc>
        <w:tc>
          <w:tcPr>
            <w:tcW w:w="6226" w:type="dxa"/>
            <w:gridSpan w:val="3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  <w:lang w:val="it-IT"/>
              </w:rPr>
            </w:pPr>
          </w:p>
        </w:tc>
      </w:tr>
      <w:tr w:rsidR="00FE17D9" w:rsidRPr="00CB25D2" w:rsidTr="0019186D">
        <w:trPr>
          <w:trHeight w:val="190"/>
        </w:trPr>
        <w:tc>
          <w:tcPr>
            <w:tcW w:w="3272" w:type="dxa"/>
            <w:gridSpan w:val="2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Kraj pochodzenia - podać</w:t>
            </w:r>
          </w:p>
        </w:tc>
        <w:tc>
          <w:tcPr>
            <w:tcW w:w="6226" w:type="dxa"/>
            <w:gridSpan w:val="3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E17D9" w:rsidRPr="00CB25D2" w:rsidTr="0019186D">
        <w:trPr>
          <w:trHeight w:val="200"/>
        </w:trPr>
        <w:tc>
          <w:tcPr>
            <w:tcW w:w="3272" w:type="dxa"/>
            <w:gridSpan w:val="2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Rok produkcji  - podać</w:t>
            </w:r>
          </w:p>
        </w:tc>
        <w:tc>
          <w:tcPr>
            <w:tcW w:w="6226" w:type="dxa"/>
            <w:gridSpan w:val="3"/>
            <w:tcMar>
              <w:top w:w="0" w:type="dxa"/>
              <w:bottom w:w="57" w:type="dxa"/>
            </w:tcMar>
          </w:tcPr>
          <w:p w:rsidR="00FE17D9" w:rsidRPr="00CB25D2" w:rsidRDefault="00FE17D9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E17D9" w:rsidRPr="00CB25D2" w:rsidTr="007B12A5">
        <w:trPr>
          <w:cantSplit/>
          <w:trHeight w:val="114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7D9" w:rsidRPr="00CB25D2" w:rsidRDefault="00FE17D9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7D9" w:rsidRPr="00CB25D2" w:rsidRDefault="00FE17D9" w:rsidP="0010648E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Opis </w:t>
            </w:r>
            <w:r w:rsidR="008F6B73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parametrów technicznych</w:t>
            </w:r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dla detektora do aparatu RTG </w:t>
            </w:r>
            <w:proofErr w:type="spellStart"/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Polyrad</w:t>
            </w:r>
            <w:proofErr w:type="spellEnd"/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Premium  dwustanowiskowego </w:t>
            </w:r>
            <w:r w:rsidR="0040289C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</w:r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z jedną lampą </w:t>
            </w:r>
            <w:proofErr w:type="spellStart"/>
            <w:r w:rsidR="0010648E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rtg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17D9" w:rsidRPr="00CB25D2" w:rsidRDefault="00FE17D9" w:rsidP="00747CCF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Wymagan</w:t>
            </w:r>
            <w:r w:rsidR="00747CCF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e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</w:r>
            <w:r w:rsidR="00747CCF"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747CCF" w:rsidRPr="00CB25D2" w:rsidRDefault="00747CCF" w:rsidP="00747CCF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CCF" w:rsidRPr="00CB25D2" w:rsidRDefault="00E67E5C" w:rsidP="00572667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Oferowane</w:t>
            </w:r>
          </w:p>
          <w:p w:rsidR="00747CCF" w:rsidRPr="00CB25D2" w:rsidRDefault="00747CCF" w:rsidP="00572667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FE17D9" w:rsidRDefault="00747CCF" w:rsidP="00572667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  <w:p w:rsidR="000F55C6" w:rsidRPr="000F55C6" w:rsidRDefault="000F55C6" w:rsidP="00572667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F55C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Należy podać – wypełnia Wykonawca</w:t>
            </w: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747CCF" w:rsidP="00747CCF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="00FE17D9" w:rsidRPr="00CB25D2">
              <w:rPr>
                <w:rFonts w:asciiTheme="majorHAnsi" w:hAnsiTheme="majorHAnsi" w:cs="Arial"/>
                <w:sz w:val="22"/>
                <w:szCs w:val="22"/>
              </w:rPr>
              <w:t>rządzeni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e</w:t>
            </w:r>
            <w:r w:rsidR="00FE17D9" w:rsidRPr="00CB25D2">
              <w:rPr>
                <w:rFonts w:asciiTheme="majorHAnsi" w:hAnsiTheme="majorHAnsi" w:cs="Arial"/>
                <w:sz w:val="22"/>
                <w:szCs w:val="22"/>
              </w:rPr>
              <w:t xml:space="preserve"> fabrycznie nowe (data produkcji nie wcześniejsza niż 2019 rok)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40289C" w:rsidP="00747CCF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</w:t>
            </w:r>
            <w:r w:rsidR="00FE17D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pozwalając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y</w:t>
            </w:r>
            <w:r w:rsidR="00FE17D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na wykonywanie wszelkich badań radiograficznych w szczególności  ortopedycznych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5E141B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dedykowan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do współpracy z posiadanymi pr</w:t>
            </w:r>
            <w:r w:rsidR="0040289C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zez Zamawiającego aparatami RTG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Polyrad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Premium, firmy RADIOLOGIA SA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747CCF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Możliwość zamiennego używania detektor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bezprzewodow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ego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w obu </w:t>
            </w:r>
            <w:r w:rsidR="00DA7A08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stanowiskach aparatu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RTG</w:t>
            </w:r>
            <w:r w:rsidR="008F6B73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Pełna integracja detektora z aparatem RTG posiadanym przez Zamawiającego, z zachowaniem obecnych  funkcjonalności  aparatu w tym interfejs do generatora WN pozwalający na obsługę za pomocą jednego monitora operatora z obsługą generatora i systemu obrazowego i pełną komunikacją pomiędzy aparatem RTG, systemem cyfrowym i detektorami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10648E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FE17D9" w:rsidRPr="00CB25D2" w:rsidRDefault="00FE17D9" w:rsidP="005E141B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Współpraca detektor</w:t>
            </w:r>
            <w:r w:rsidR="005E141B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z systemem AEC aparatu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36750C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6750C" w:rsidRPr="00CB25D2" w:rsidRDefault="0036750C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36750C" w:rsidRPr="00CB25D2" w:rsidRDefault="0036750C" w:rsidP="0036750C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Odporność detektor</w:t>
            </w:r>
            <w:r w:rsidR="00747CCF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na wnikanie wody i płynów -   klasa odporności co najmniej IPx6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o1</w:t>
            </w:r>
          </w:p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NIE –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DA7A08" w:rsidRPr="00CB25D2" w:rsidRDefault="000F55C6" w:rsidP="000F55C6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TAK –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Default="000F55C6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  <w:p w:rsidR="0036750C" w:rsidRPr="00CB25D2" w:rsidRDefault="0036750C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FE17D9" w:rsidRPr="00CB25D2" w:rsidRDefault="00FE17D9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przeznaczony do pracy w istniejącej szufladzie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Bucky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stołu RTG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snapToGrid w:val="0"/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Rozmiar detektora odpowiadający  wymiar</w:t>
            </w:r>
            <w:r w:rsidR="0040289C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om analogowej klasycznej kasety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35 x43 cm zgodnie z ISO 4090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FE17D9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E17D9" w:rsidRPr="00CB25D2" w:rsidRDefault="00FE17D9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40289C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płaski, bezprzewodowy </w:t>
            </w:r>
            <w:r w:rsidR="00FE17D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wykonany w technologii </w:t>
            </w:r>
            <w:proofErr w:type="spellStart"/>
            <w:r w:rsidR="00FE17D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aSi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FE17D9" w:rsidRPr="00CB25D2" w:rsidRDefault="00FE17D9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7D9" w:rsidRPr="00CB25D2" w:rsidRDefault="00FE17D9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Pojemność pamięci obrazowej detektora nie mniejsza niż 180 obrazów</w:t>
            </w:r>
          </w:p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Default="00572667" w:rsidP="00572667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o2</w:t>
            </w:r>
          </w:p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180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o2 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&lt; 200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o2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≥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200 obrazów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Aktywny obszar obrazowania 425 mm x 345 mm [+/- 10 mm]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BE25DD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Rozmiar pojedynczego piksela nie większy niż </w:t>
            </w:r>
            <w:r w:rsidR="00852A1E" w:rsidRPr="00852A1E">
              <w:rPr>
                <w:rFonts w:asciiTheme="majorHAnsi" w:eastAsia="Arial Unicode MS" w:hAnsiTheme="majorHAnsi" w:cs="Arial"/>
                <w:bCs/>
                <w:strike/>
                <w:color w:val="FF0000"/>
                <w:sz w:val="22"/>
                <w:szCs w:val="20"/>
              </w:rPr>
              <w:t>140 </w:t>
            </w:r>
            <w:r w:rsidR="00852A1E" w:rsidRPr="00852A1E"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0"/>
              </w:rPr>
              <w:t>148 µm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o wysokiej czułości ze scyntylatorem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CSi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7C24C3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Dynamika konwertera A/D nie mniejsza niż 1</w:t>
            </w:r>
            <w:r w:rsidR="007C24C3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6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bitów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681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Dynamika obrazu rejestrowane</w:t>
            </w:r>
            <w:r w:rsidR="0040289C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go przez zaoferowany detektor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Default="000F55C6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o3</w:t>
            </w:r>
          </w:p>
          <w:p w:rsidR="00572667" w:rsidRPr="007B12A5" w:rsidRDefault="000F55C6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16 bitów - 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7B12A5" w:rsidRDefault="000F55C6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16 bitów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Automatyczna gotowość na nową ekspozycję po przesłaniu obrazu RTG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System zabezpieczenia detektora przed podwójną ekspozycją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Zasilanie detektora akumulatorowe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Wymiana akumulatorów przez użytkownika bez używania specjalnych narzędzi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Wymiana baterii bez potrzeby wyłączania detektora, podłączania dodatkowych kabli, etc.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ab/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o4</w:t>
            </w:r>
          </w:p>
          <w:p w:rsidR="000F55C6" w:rsidRP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NIE –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CB25D2" w:rsidRDefault="000F55C6" w:rsidP="000F55C6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TAK –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Możliwość ładowania baterii w detektorze po podłączeniu do detektora dedykowanego kabla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7C24C3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W zestawie minimum </w:t>
            </w:r>
            <w:r w:rsidR="007C24C3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cztery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wymienne baterie wraz z ładowarką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Ładowarka umożliwiająca ładowanie minimum dwóch baterii jednocześnie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Czas pełnego ładowania baterii nie dłużej niż 3,5 godz.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572667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Ilość ekspozycji możliwych do wykonania na detektorze bez doładowania baterii co najmniej 900 ekspozycji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572667" w:rsidRPr="00CB25D2" w:rsidRDefault="00572667" w:rsidP="0057266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667" w:rsidRPr="00CB25D2" w:rsidRDefault="00572667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7C24C3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7C24C3" w:rsidRPr="00CB25D2" w:rsidRDefault="007C24C3" w:rsidP="00572667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7C24C3" w:rsidRPr="00CB25D2" w:rsidRDefault="007C24C3" w:rsidP="00572667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Łączenie kilku obrazów (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stitching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) z korektą manualną (min. 4 obrazy)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7C24C3" w:rsidRPr="00CB25D2" w:rsidRDefault="007C24C3" w:rsidP="00572667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4C3" w:rsidRPr="00CB25D2" w:rsidRDefault="007C24C3" w:rsidP="00572667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o wzmocnionej wytrz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ymałości mechanicznej na nacisk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punktowy (np. kolizje) minimum 100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o5</w:t>
            </w:r>
          </w:p>
          <w:p w:rsidR="000F55C6" w:rsidRDefault="000F55C6" w:rsidP="000F55C6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100 kg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o5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150 kg</w:t>
            </w:r>
          </w:p>
          <w:p w:rsidR="000F55C6" w:rsidRDefault="000F55C6" w:rsidP="000F55C6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0F55C6" w:rsidRDefault="000F55C6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≥ 150 kg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o wzmocnionej wytrzymałości mechanicznej na obciążenia rozłożone (np. nacisk leżącego pacjenta) minimum 140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0F55C6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o6</w:t>
            </w:r>
          </w:p>
          <w:p w:rsidR="000F55C6" w:rsidRDefault="000F55C6" w:rsidP="000F55C6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140 kg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o6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250 kg</w:t>
            </w:r>
          </w:p>
          <w:p w:rsidR="000F55C6" w:rsidRDefault="000F55C6" w:rsidP="000F55C6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 w:rsidR="007B12A5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0F55C6" w:rsidRPr="000F55C6" w:rsidRDefault="000F55C6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2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50 kg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40289C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852A1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Waga detektora wraz z baterią nie większa niż </w:t>
            </w:r>
            <w:r w:rsidR="00852A1E" w:rsidRPr="00852A1E">
              <w:rPr>
                <w:rFonts w:asciiTheme="majorHAnsi" w:eastAsia="Arial Unicode MS" w:hAnsiTheme="majorHAnsi" w:cs="Arial"/>
                <w:bCs/>
                <w:strike/>
                <w:color w:val="FF0000"/>
                <w:sz w:val="22"/>
                <w:szCs w:val="20"/>
              </w:rPr>
              <w:t>3,1</w:t>
            </w:r>
            <w:r w:rsidR="00852A1E" w:rsidRPr="00852A1E"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0"/>
              </w:rPr>
              <w:t xml:space="preserve"> 3,6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Instrukcja obsługi w języku polskim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3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55C6" w:rsidRPr="00CB25D2" w:rsidRDefault="000F55C6" w:rsidP="000F55C6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 xml:space="preserve">KOMATYBILNOŚĆ INFORMATYCZNA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Integracja z  systemem informatycznym PACS/RIS posiadanym przez Zamawiającego (PACS Philips, RIS </w:t>
            </w:r>
            <w:proofErr w:type="spellStart"/>
            <w:r w:rsidRPr="00CB25D2">
              <w:rPr>
                <w:rStyle w:val="Pogrubienie"/>
                <w:rFonts w:asciiTheme="majorHAnsi" w:hAnsiTheme="majorHAnsi" w:cs="Arial"/>
                <w:sz w:val="22"/>
                <w:szCs w:val="22"/>
              </w:rPr>
              <w:t>SimpleTech</w:t>
            </w:r>
            <w:proofErr w:type="spellEnd"/>
            <w:r w:rsidRPr="00CB25D2">
              <w:rPr>
                <w:rStyle w:val="Pogrubienie"/>
                <w:rFonts w:asciiTheme="majorHAnsi" w:hAnsiTheme="majorHAnsi" w:cs="Arial"/>
                <w:sz w:val="22"/>
                <w:szCs w:val="22"/>
              </w:rPr>
              <w:t xml:space="preserve"> Sp. z o.o.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) w cenie oferty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Integracja w zakresie obrazów z oprogramowaniem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IntelliSpace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Portal, firmy Philips posiadanym przez Zamawiającego w cenie oferty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System posiadający funkcjonalności DICOM w klasach minimum: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Storage,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Storage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Commitment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, 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Send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,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Print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,</w:t>
            </w:r>
          </w:p>
          <w:p w:rsidR="000F55C6" w:rsidRPr="00CB25D2" w:rsidRDefault="000F55C6" w:rsidP="000F55C6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Modality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Worklist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0F55C6" w:rsidRPr="00CB25D2" w:rsidRDefault="000F55C6" w:rsidP="000F55C6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3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55C6" w:rsidRPr="00CB25D2" w:rsidRDefault="000F55C6" w:rsidP="000F55C6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GWARANCJA I SERWIS GWARANCYJNY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Wymagane 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  <w:t>Parametry</w:t>
            </w:r>
          </w:p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Potwierdzone</w:t>
            </w:r>
          </w:p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0F55C6" w:rsidRPr="00CB25D2" w:rsidRDefault="000F55C6" w:rsidP="000F55C6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</w:tr>
      <w:tr w:rsidR="000F55C6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Przeprowadzenie na koszt wykonawcy testów specjalistycznych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55C6" w:rsidRPr="00CB25D2" w:rsidRDefault="000F55C6" w:rsidP="000F55C6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Okres gwarancji liczony</w:t>
            </w:r>
            <w:r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od daty odbioru potwierdzonego</w:t>
            </w: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protokołem odbioru minimum 24 miesiące, obejmujący naprawy i przeglądy okresowe urządzenia</w:t>
            </w:r>
            <w:r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(detektora)</w:t>
            </w: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zgodnie z zaleceniami producenta oraz dojazd serwisu i usunięcie usterki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Default="00414D3B" w:rsidP="00414D3B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414D3B" w:rsidRDefault="00414D3B" w:rsidP="00414D3B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Parametr oceniany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G</w:t>
            </w:r>
          </w:p>
          <w:p w:rsidR="00414D3B" w:rsidRDefault="00414D3B" w:rsidP="00414D3B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24 miesiące ≤ 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36 miesięcy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414D3B" w:rsidRPr="00414D3B" w:rsidRDefault="00414D3B" w:rsidP="00414D3B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36 miesiące ≤ 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48 miesięcy -  5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414D3B" w:rsidRPr="000F55C6" w:rsidRDefault="00414D3B" w:rsidP="00414D3B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G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48 miesięcy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10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punktów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Przeglądy techniczne wraz z konserwacją w okresie gwarancji - w zakresie i terminach zgodnych z dokumentacją DTR wykonywane na koszt dostawcy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Autoryzowany serwis na terenie Polski potwierdzony certyfikatem producenta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Czas reakcji serwisu na zgłoszenie z podjęciem naprawy (nie dłuższy niż 48 h) w dni robocze (od </w:t>
            </w:r>
            <w:proofErr w:type="spellStart"/>
            <w:r w:rsidRPr="00CB25D2">
              <w:rPr>
                <w:rFonts w:asciiTheme="majorHAnsi" w:hAnsiTheme="majorHAnsi" w:cs="Arial"/>
                <w:sz w:val="22"/>
                <w:szCs w:val="22"/>
              </w:rPr>
              <w:t>pn-pt</w:t>
            </w:r>
            <w:proofErr w:type="spellEnd"/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z wyłączeniem dni ustawowo wolnych od pracy)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Termin wykonania naprawy gwarancyjnej bez konieczności importu części zamiennych – maks. 3 dni roboczych od poniedziałku do piątku z wyłączeniem dni ustawowo wolnych od pracy, liczony od daty zgłoszenia o wadzie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8D410F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Termin wykonania naprawy gwarancyjnej z koniecznością importu części zamiennych – maks. 10 dni roboczych od poniedziałku do piątku z wyłączeniem dni ustawowo wolnych od pracy, liczony od daty zgłoszenia o wadzie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8D410F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Wymiana uszkodzonego podzespołu na nowy po maks. trzech nieskutecznych próbach jego naprawy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7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8D410F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Okres gwarancji dla wymienionych na nowe podzespołów z powodu ich uszkodzenia w końcowym okresie zaoferowanej gwarancji - liczony od dnia ich zainstalowania minimum 6 miesięcy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338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4D3B" w:rsidRPr="00CB25D2" w:rsidRDefault="00414D3B" w:rsidP="00414D3B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414D3B" w:rsidRPr="00CB25D2" w:rsidRDefault="00414D3B" w:rsidP="00414D3B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SZKOLENIE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tcMar>
              <w:top w:w="57" w:type="dxa"/>
              <w:left w:w="57" w:type="dxa"/>
              <w:bottom w:w="57" w:type="dxa"/>
              <w:right w:w="28" w:type="dxa"/>
            </w:tcMar>
            <w:vAlign w:val="center"/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2" w:color="auto" w:fill="auto"/>
            <w:vAlign w:val="center"/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Szkolenia personelu użytkownika w zakresie obsługi dostarczanych urządzeń  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przez min. 2 dni robocze po 5 godz., bez ograniczenia liczby szkolonych osób w terminie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przed podpisaniem protokołu odbioru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414D3B" w:rsidRPr="00CB25D2" w:rsidTr="007B12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6"/>
        </w:trPr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Szkolenia dodatkowe personelu użytkownika w zakresie obsługi dostarczanych urządzeń  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przez min. 2 dni robocze po maks. 5 godz., w terminach wspólnie uzgodnionych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w okresie do 2 miesięcy od daty odbioru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28" w:type="dxa"/>
            </w:tcMar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D3B" w:rsidRPr="00CB25D2" w:rsidRDefault="00414D3B" w:rsidP="00414D3B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FE17D9" w:rsidRDefault="00FE17D9" w:rsidP="00FE17D9">
      <w:pPr>
        <w:jc w:val="both"/>
        <w:rPr>
          <w:rFonts w:asciiTheme="majorHAnsi" w:hAnsiTheme="majorHAnsi" w:cs="Arial"/>
          <w:sz w:val="20"/>
          <w:szCs w:val="20"/>
        </w:rPr>
      </w:pPr>
    </w:p>
    <w:p w:rsidR="00E91626" w:rsidRPr="00CB25D2" w:rsidRDefault="00E91626" w:rsidP="00FE17D9">
      <w:pPr>
        <w:jc w:val="both"/>
        <w:rPr>
          <w:rFonts w:asciiTheme="majorHAnsi" w:hAnsiTheme="majorHAnsi" w:cs="Arial"/>
          <w:sz w:val="20"/>
          <w:szCs w:val="20"/>
        </w:rPr>
      </w:pPr>
    </w:p>
    <w:p w:rsidR="00FE17D9" w:rsidRPr="00CB25D2" w:rsidRDefault="00FE17D9" w:rsidP="00FE17D9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82"/>
        <w:gridCol w:w="2690"/>
        <w:gridCol w:w="1401"/>
        <w:gridCol w:w="2268"/>
        <w:gridCol w:w="2552"/>
      </w:tblGrid>
      <w:tr w:rsidR="00374939" w:rsidRPr="00CB25D2" w:rsidTr="00525589">
        <w:tc>
          <w:tcPr>
            <w:tcW w:w="9493" w:type="dxa"/>
            <w:gridSpan w:val="5"/>
            <w:shd w:val="clear" w:color="auto" w:fill="D0CECE" w:themeFill="background2" w:themeFillShade="E6"/>
          </w:tcPr>
          <w:p w:rsidR="00374939" w:rsidRPr="00CB25D2" w:rsidRDefault="00374939" w:rsidP="00374939">
            <w:pPr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Detektor do aparatu RTG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Polyrad</w:t>
            </w:r>
            <w:proofErr w:type="spellEnd"/>
            <w:r w:rsidR="003C1B28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Premium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dwustanowiskowego z dwoma lampami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rtg</w:t>
            </w:r>
            <w:proofErr w:type="spellEnd"/>
          </w:p>
        </w:tc>
      </w:tr>
      <w:tr w:rsidR="0010648E" w:rsidRPr="00CB25D2" w:rsidTr="0019186D">
        <w:trPr>
          <w:trHeight w:val="200"/>
        </w:trPr>
        <w:tc>
          <w:tcPr>
            <w:tcW w:w="3272" w:type="dxa"/>
            <w:gridSpan w:val="2"/>
          </w:tcPr>
          <w:p w:rsidR="0010648E" w:rsidRPr="00CB25D2" w:rsidRDefault="0010648E" w:rsidP="00374939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Nazwa / typ  detektor</w:t>
            </w:r>
            <w:r w:rsidR="00374939" w:rsidRPr="00CB25D2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- podać</w:t>
            </w:r>
          </w:p>
        </w:tc>
        <w:tc>
          <w:tcPr>
            <w:tcW w:w="6221" w:type="dxa"/>
            <w:gridSpan w:val="3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</w:p>
        </w:tc>
      </w:tr>
      <w:tr w:rsidR="0010648E" w:rsidRPr="00CB25D2" w:rsidTr="0019186D">
        <w:trPr>
          <w:trHeight w:val="200"/>
        </w:trPr>
        <w:tc>
          <w:tcPr>
            <w:tcW w:w="3272" w:type="dxa"/>
            <w:gridSpan w:val="2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Producent - podać</w:t>
            </w:r>
          </w:p>
        </w:tc>
        <w:tc>
          <w:tcPr>
            <w:tcW w:w="6221" w:type="dxa"/>
            <w:gridSpan w:val="3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  <w:lang w:val="it-IT"/>
              </w:rPr>
            </w:pPr>
          </w:p>
        </w:tc>
      </w:tr>
      <w:tr w:rsidR="0010648E" w:rsidRPr="00CB25D2" w:rsidTr="0019186D">
        <w:trPr>
          <w:trHeight w:val="190"/>
        </w:trPr>
        <w:tc>
          <w:tcPr>
            <w:tcW w:w="3272" w:type="dxa"/>
            <w:gridSpan w:val="2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Kraj pochodzenia - podać</w:t>
            </w:r>
          </w:p>
        </w:tc>
        <w:tc>
          <w:tcPr>
            <w:tcW w:w="6221" w:type="dxa"/>
            <w:gridSpan w:val="3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0648E" w:rsidRPr="00CB25D2" w:rsidTr="0019186D">
        <w:trPr>
          <w:trHeight w:val="200"/>
        </w:trPr>
        <w:tc>
          <w:tcPr>
            <w:tcW w:w="3272" w:type="dxa"/>
            <w:gridSpan w:val="2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b/>
                <w:bCs/>
                <w:i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Rok produkcji  - podać</w:t>
            </w:r>
          </w:p>
        </w:tc>
        <w:tc>
          <w:tcPr>
            <w:tcW w:w="6221" w:type="dxa"/>
            <w:gridSpan w:val="3"/>
          </w:tcPr>
          <w:p w:rsidR="0010648E" w:rsidRPr="00CB25D2" w:rsidRDefault="0010648E" w:rsidP="0010648E">
            <w:pPr>
              <w:pStyle w:val="Tekstpodstawowy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825"/>
        </w:trPr>
        <w:tc>
          <w:tcPr>
            <w:tcW w:w="582" w:type="dxa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091" w:type="dxa"/>
            <w:gridSpan w:val="2"/>
          </w:tcPr>
          <w:p w:rsidR="0010648E" w:rsidRPr="00CB25D2" w:rsidRDefault="00D548AA" w:rsidP="00D548AA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Opis parametrów technicznych dla detektora do aparatu RTG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Polyrad</w:t>
            </w:r>
            <w:proofErr w:type="spellEnd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Premium  dwustanowiskowego z dwoma lampami </w:t>
            </w:r>
            <w:proofErr w:type="spellStart"/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rtg</w:t>
            </w:r>
            <w:proofErr w:type="spellEnd"/>
          </w:p>
        </w:tc>
        <w:tc>
          <w:tcPr>
            <w:tcW w:w="2268" w:type="dxa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Wymagane 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  <w:t>Parametry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Oferowane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Urządzenie fabrycznie nowe (data produkcji nie wcześniejsza niż 2019 rok)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0E7F91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</w:t>
            </w:r>
            <w:r w:rsidR="0010648E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pozwalający na wykonywanie wszelkich badań radiograficznych w szczególności  ortopedycznych 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374939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</w:t>
            </w:r>
            <w:r w:rsidR="0037493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edykowany do współpracy z posiadanymi pr</w:t>
            </w:r>
            <w:r w:rsidR="0062212F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zez Zamawiającego </w:t>
            </w:r>
            <w:r w:rsidR="0062212F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lastRenderedPageBreak/>
              <w:t>aparatami RTG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Polyrad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Premium, firmy RADIOLOGIA SA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852A1E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852A1E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trike/>
                <w:color w:val="FF0000"/>
                <w:sz w:val="22"/>
                <w:szCs w:val="22"/>
              </w:rPr>
            </w:pPr>
            <w:r w:rsidRPr="00852A1E">
              <w:rPr>
                <w:rFonts w:asciiTheme="majorHAnsi" w:eastAsia="Arial Unicode MS" w:hAnsiTheme="majorHAnsi" w:cs="Arial"/>
                <w:bCs/>
                <w:strike/>
                <w:color w:val="FF0000"/>
                <w:sz w:val="22"/>
                <w:szCs w:val="22"/>
              </w:rPr>
              <w:t xml:space="preserve">Możliwość zamiennego używania detektora bezprzewodowego w obu stanowiskach aparatu RTG </w:t>
            </w:r>
          </w:p>
        </w:tc>
        <w:tc>
          <w:tcPr>
            <w:tcW w:w="2268" w:type="dxa"/>
          </w:tcPr>
          <w:p w:rsidR="0010648E" w:rsidRPr="00852A1E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trike/>
                <w:color w:val="FF0000"/>
                <w:sz w:val="22"/>
                <w:szCs w:val="22"/>
              </w:rPr>
            </w:pPr>
            <w:r w:rsidRPr="00852A1E">
              <w:rPr>
                <w:rFonts w:asciiTheme="majorHAnsi" w:eastAsia="Arial Unicode MS" w:hAnsiTheme="majorHAnsi" w:cs="Arial"/>
                <w:bCs/>
                <w:strike/>
                <w:color w:val="FF0000"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852A1E" w:rsidRPr="00852A1E" w:rsidRDefault="00852A1E" w:rsidP="00852A1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0"/>
              </w:rPr>
            </w:pPr>
            <w:r w:rsidRPr="00852A1E">
              <w:rPr>
                <w:rFonts w:asciiTheme="majorHAnsi" w:eastAsia="Arial Unicode MS" w:hAnsiTheme="majorHAnsi" w:cs="Arial"/>
                <w:bCs/>
                <w:sz w:val="22"/>
                <w:szCs w:val="20"/>
              </w:rPr>
              <w:t>Pełna integracja detektora z aparatem RTG posiadanym przez Zamawiającego, z zachowaniem obecnych  funkcjonalności  aparatu w tym interfejs do generatora WN pozwalający na obsługę za pomocą jednego monitora operatora z obsługą generatora i systemu obrazowego i pełną komunikacją pomiędzy aparatem RTG, systemem cyfrowym i detektorami</w:t>
            </w:r>
          </w:p>
          <w:p w:rsidR="00852A1E" w:rsidRPr="00852A1E" w:rsidRDefault="00852A1E" w:rsidP="00852A1E">
            <w:pPr>
              <w:snapToGrid w:val="0"/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0"/>
              </w:rPr>
            </w:pPr>
            <w:r w:rsidRPr="00852A1E"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0"/>
              </w:rPr>
              <w:t>lub</w:t>
            </w:r>
          </w:p>
          <w:p w:rsidR="0010648E" w:rsidRPr="00CB25D2" w:rsidRDefault="00852A1E" w:rsidP="00852A1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852A1E"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0"/>
              </w:rPr>
              <w:t xml:space="preserve">dostarczenie </w:t>
            </w:r>
            <w:r w:rsidRPr="00852A1E"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0"/>
                <w:u w:val="single"/>
              </w:rPr>
              <w:t>dodatkowej</w:t>
            </w:r>
            <w:r w:rsidRPr="00852A1E"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0"/>
              </w:rPr>
              <w:t xml:space="preserve"> stacji roboczej umożliwiającej  pełną obsługę użytkową i serwisową aparatu tak, jak w oryginalnej konfiguracji aparatu.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374939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Współpraca detektor</w:t>
            </w:r>
            <w:r w:rsidR="00374939"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z systemem AEC aparatu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Odporność detektora na wnikanie wody i płynów -   klasa odporn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ości co najmniej IPx6</w:t>
            </w:r>
          </w:p>
        </w:tc>
        <w:tc>
          <w:tcPr>
            <w:tcW w:w="2268" w:type="dxa"/>
          </w:tcPr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o1</w:t>
            </w:r>
          </w:p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NIE –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CB25D2" w:rsidRDefault="007B12A5" w:rsidP="007B12A5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TAK –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przeznaczony do pracy w istniejącej szufladzie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Bucky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stołu RTG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Rozmiar detektora </w:t>
            </w:r>
            <w:r w:rsidR="00167ED0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odpowiadający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wymiar</w:t>
            </w:r>
            <w:r w:rsidR="00167ED0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om analogowej klasycznej kasety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35 x43 cm zgodnie z ISO 4090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płaski, bezprzewodowy  wykonany w technologii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aSi</w:t>
            </w:r>
            <w:proofErr w:type="spellEnd"/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Pojemność pamięci obrazowej detektora nie mniejsza niż 180 obrazów</w:t>
            </w:r>
          </w:p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B12A5" w:rsidRDefault="007B12A5" w:rsidP="007B12A5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o2</w:t>
            </w:r>
          </w:p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180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o2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 200 - 0 punktów;</w:t>
            </w:r>
          </w:p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o2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200 obrazów - 5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Aktywny obszar obrazowania 425 mm x 345 mm [+/- 10 mm]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Rozmiar pojedynczego  piksela nie większy niż </w:t>
            </w:r>
            <w:r w:rsidR="00852A1E" w:rsidRPr="00852A1E">
              <w:rPr>
                <w:rFonts w:asciiTheme="majorHAnsi" w:eastAsia="Arial Unicode MS" w:hAnsiTheme="majorHAnsi" w:cs="Arial"/>
                <w:bCs/>
                <w:strike/>
                <w:color w:val="FF0000"/>
                <w:sz w:val="22"/>
                <w:szCs w:val="20"/>
              </w:rPr>
              <w:t>140</w:t>
            </w:r>
            <w:r w:rsidR="00852A1E" w:rsidRPr="00852A1E"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0"/>
              </w:rPr>
              <w:t> 148 µm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Detektor o wysokiej czułości ze scyntylatorem 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CSi</w:t>
            </w:r>
            <w:proofErr w:type="spellEnd"/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Dynamika konwertera A/D nie mniejsza niż 16 bitów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Dynamika obrazu rejestrowanego przez zaoferowany detektor 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ab/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ab/>
            </w:r>
          </w:p>
          <w:p w:rsidR="007B12A5" w:rsidRPr="00CB25D2" w:rsidRDefault="007B12A5" w:rsidP="007B12A5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o3</w:t>
            </w:r>
          </w:p>
          <w:p w:rsidR="007B12A5" w:rsidRP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16 bitów 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16 bitów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Automatyczna gotowość na nową ekspozycję po przesłaniu obrazu RTG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System zabezpieczenia detektora przed podwójną ekspozycją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Zasilanie detektora akumulatorowe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Wymiana akumulatorów przez użytkownika bez używania specjalnych narzędzi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Wymiana baterii bez potrzeby wyłączania detektora, podłą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czania dodatkowych kabli, etc.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o4</w:t>
            </w:r>
          </w:p>
          <w:p w:rsidR="007B12A5" w:rsidRPr="000F55C6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NIE – 0 punktów</w:t>
            </w:r>
          </w:p>
          <w:p w:rsidR="007B12A5" w:rsidRPr="00CB25D2" w:rsidRDefault="007B12A5" w:rsidP="007B12A5">
            <w:pP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TAK –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Możliwość ładowania baterii w detektorze po podłączeniu do detektora dedykowanego kabla 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 zestawie minimum cztery wymienne baterie wraz z ładowarką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Ładowarka umożliwiająca ładowanie minimum dwóch baterii jednocześnie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Czas pełnego ładowania baterii nie dłużej niż 3,5 godz.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Ilość ekspozycji możliwych do wykonania na detektorze bez doładowania baterii co najmniej 900 ekspozycji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Łączenie kilku obrazów (</w:t>
            </w:r>
            <w:proofErr w:type="spellStart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stitching</w:t>
            </w:r>
            <w:proofErr w:type="spellEnd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) z korektą manualną (min. 4 obrazy)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o wzmocnionej wytrz</w:t>
            </w:r>
            <w:r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ymałości mechanicznej na nacisk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punktowy (np. kolizje) minimum 100 kg</w:t>
            </w:r>
          </w:p>
        </w:tc>
        <w:tc>
          <w:tcPr>
            <w:tcW w:w="2268" w:type="dxa"/>
          </w:tcPr>
          <w:p w:rsidR="007B12A5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o5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100 kg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o5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150 kg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0F55C6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≥ 150 kg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Detektor o wzmocnionej wytrzymałości mechanicznej na obciążenia rozłożone (np. nacisk leżącego pacjenta) minimum 140 kg</w:t>
            </w:r>
          </w:p>
        </w:tc>
        <w:tc>
          <w:tcPr>
            <w:tcW w:w="2268" w:type="dxa"/>
          </w:tcPr>
          <w:p w:rsidR="007B12A5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Parametr oceniany 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>o6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140 kg ≤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o6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250 kg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0F55C6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O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o3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2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50 kg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5 punktów</w:t>
            </w:r>
          </w:p>
        </w:tc>
        <w:tc>
          <w:tcPr>
            <w:tcW w:w="2552" w:type="dxa"/>
          </w:tcPr>
          <w:p w:rsidR="007B12A5" w:rsidRPr="0019186D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Waga detektora wraz z baterią</w:t>
            </w:r>
            <w:bookmarkStart w:id="0" w:name="_GoBack"/>
            <w:bookmarkEnd w:id="0"/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 nie większa niż </w:t>
            </w:r>
            <w:r w:rsidR="00852A1E" w:rsidRPr="00852A1E">
              <w:rPr>
                <w:rFonts w:asciiTheme="majorHAnsi" w:eastAsia="Arial Unicode MS" w:hAnsiTheme="majorHAnsi" w:cs="Arial"/>
                <w:bCs/>
                <w:strike/>
                <w:color w:val="FF0000"/>
                <w:sz w:val="22"/>
                <w:szCs w:val="20"/>
              </w:rPr>
              <w:t>3,1</w:t>
            </w:r>
            <w:r w:rsidR="00852A1E" w:rsidRPr="00852A1E">
              <w:rPr>
                <w:rFonts w:asciiTheme="majorHAnsi" w:eastAsia="Arial Unicode MS" w:hAnsiTheme="majorHAnsi" w:cs="Arial"/>
                <w:bCs/>
                <w:color w:val="FF0000"/>
                <w:sz w:val="22"/>
                <w:szCs w:val="20"/>
              </w:rPr>
              <w:t xml:space="preserve">  3,6 kg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374939" w:rsidRPr="00CB25D2" w:rsidTr="007B12A5">
        <w:trPr>
          <w:trHeight w:val="226"/>
        </w:trPr>
        <w:tc>
          <w:tcPr>
            <w:tcW w:w="582" w:type="dxa"/>
          </w:tcPr>
          <w:p w:rsidR="00374939" w:rsidRPr="00CB25D2" w:rsidRDefault="00374939" w:rsidP="00374939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374939" w:rsidRPr="00CB25D2" w:rsidRDefault="00374939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Instrukcja obsługi w języku polskim</w:t>
            </w:r>
          </w:p>
        </w:tc>
        <w:tc>
          <w:tcPr>
            <w:tcW w:w="2268" w:type="dxa"/>
          </w:tcPr>
          <w:p w:rsidR="00374939" w:rsidRPr="00CB25D2" w:rsidRDefault="00374939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374939" w:rsidRPr="00CB25D2" w:rsidRDefault="00374939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338"/>
        </w:trPr>
        <w:tc>
          <w:tcPr>
            <w:tcW w:w="582" w:type="dxa"/>
            <w:shd w:val="clear" w:color="auto" w:fill="E7E6E6" w:themeFill="background2"/>
          </w:tcPr>
          <w:p w:rsidR="0010648E" w:rsidRPr="00CB25D2" w:rsidRDefault="0010648E" w:rsidP="0010648E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1" w:type="dxa"/>
            <w:gridSpan w:val="2"/>
            <w:shd w:val="clear" w:color="auto" w:fill="E7E6E6" w:themeFill="background2"/>
            <w:vAlign w:val="center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 xml:space="preserve">KOMATYBILNOŚĆ INFORMATYCZNA </w:t>
            </w:r>
          </w:p>
        </w:tc>
        <w:tc>
          <w:tcPr>
            <w:tcW w:w="2268" w:type="dxa"/>
            <w:shd w:val="clear" w:color="auto" w:fill="E7E6E6" w:themeFill="background2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 xml:space="preserve">Integracja z  systemem informatycznym PACS/RIS posiadanym przez Zamawiającego (PACS Philips, RIS </w:t>
            </w:r>
            <w:proofErr w:type="spellStart"/>
            <w:r w:rsidRPr="00CB25D2">
              <w:rPr>
                <w:rStyle w:val="Pogrubienie"/>
                <w:rFonts w:asciiTheme="majorHAnsi" w:hAnsiTheme="majorHAnsi" w:cs="Arial"/>
                <w:sz w:val="22"/>
                <w:szCs w:val="22"/>
              </w:rPr>
              <w:t>SimpleTech</w:t>
            </w:r>
            <w:proofErr w:type="spellEnd"/>
            <w:r w:rsidRPr="00CB25D2">
              <w:rPr>
                <w:rStyle w:val="Pogrubienie"/>
                <w:rFonts w:asciiTheme="majorHAnsi" w:hAnsiTheme="majorHAnsi" w:cs="Arial"/>
                <w:sz w:val="22"/>
                <w:szCs w:val="22"/>
              </w:rPr>
              <w:t xml:space="preserve"> Sp. z o.o.</w:t>
            </w: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) w cenie oferty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Integracja w zakresie obrazów z oprogramowaniem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IntelliSpace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Portal, firmy Philips posiadanym prz</w:t>
            </w:r>
            <w:r w:rsidR="00374939"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ez Zamawiającego w cenie oferty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System posiadający funkcjonalności DICOM w klasach minimum: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Storage,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Storage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Commitment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, 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Send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,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Print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,</w:t>
            </w:r>
          </w:p>
          <w:p w:rsidR="0010648E" w:rsidRPr="00CB25D2" w:rsidRDefault="0010648E" w:rsidP="0010648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Modality</w:t>
            </w:r>
            <w:proofErr w:type="spellEnd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</w:t>
            </w:r>
            <w:proofErr w:type="spellStart"/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>Worklist</w:t>
            </w:r>
            <w:proofErr w:type="spellEnd"/>
          </w:p>
        </w:tc>
        <w:tc>
          <w:tcPr>
            <w:tcW w:w="2268" w:type="dxa"/>
          </w:tcPr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10648E" w:rsidRPr="00CB25D2" w:rsidRDefault="0010648E" w:rsidP="0010648E">
            <w:pPr>
              <w:tabs>
                <w:tab w:val="center" w:pos="1217"/>
              </w:tabs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338"/>
        </w:trPr>
        <w:tc>
          <w:tcPr>
            <w:tcW w:w="582" w:type="dxa"/>
            <w:shd w:val="clear" w:color="auto" w:fill="E7E6E6" w:themeFill="background2"/>
          </w:tcPr>
          <w:p w:rsidR="0010648E" w:rsidRPr="00CB25D2" w:rsidRDefault="0010648E" w:rsidP="0010648E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1" w:type="dxa"/>
            <w:gridSpan w:val="2"/>
            <w:shd w:val="clear" w:color="auto" w:fill="E7E6E6" w:themeFill="background2"/>
            <w:vAlign w:val="center"/>
          </w:tcPr>
          <w:p w:rsidR="0010648E" w:rsidRPr="00CB25D2" w:rsidRDefault="0010648E" w:rsidP="00525589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GWARANCJA I SERWIS GWARANCYJNY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Wymagane </w:t>
            </w: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br/>
              <w:t>Parametry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Potwierdzone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Parametry</w:t>
            </w:r>
          </w:p>
          <w:p w:rsidR="0010648E" w:rsidRPr="00CB25D2" w:rsidRDefault="0010648E" w:rsidP="0010648E">
            <w:pPr>
              <w:ind w:left="-70" w:right="-70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Techniczne</w:t>
            </w: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Przeprowadzenie na koszt wykonawcy testów specjalistycznych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7B12A5" w:rsidRPr="00CB25D2" w:rsidTr="007B12A5">
        <w:trPr>
          <w:trHeight w:val="226"/>
        </w:trPr>
        <w:tc>
          <w:tcPr>
            <w:tcW w:w="582" w:type="dxa"/>
          </w:tcPr>
          <w:p w:rsidR="007B12A5" w:rsidRPr="00CB25D2" w:rsidRDefault="007B12A5" w:rsidP="007B12A5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7B12A5" w:rsidRPr="00CB25D2" w:rsidRDefault="007B12A5" w:rsidP="007B12A5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Okres gwarancji liczony</w:t>
            </w:r>
            <w:r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od daty odbioru potwierdzonego</w:t>
            </w: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protokołem odbioru minimum 24 miesiące, obejmujący naprawy i przeglądy okresowe urządzenia</w:t>
            </w:r>
            <w:r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(detektora)</w:t>
            </w: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 xml:space="preserve"> zgodnie z zaleceniami producenta oraz dojazd serwisu i usunięcie usterki</w:t>
            </w:r>
          </w:p>
        </w:tc>
        <w:tc>
          <w:tcPr>
            <w:tcW w:w="2268" w:type="dxa"/>
          </w:tcPr>
          <w:p w:rsidR="007B12A5" w:rsidRDefault="007B12A5" w:rsidP="007B12A5">
            <w:pPr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 w:rsidRPr="00CB25D2">
              <w:rPr>
                <w:rFonts w:asciiTheme="majorHAnsi" w:eastAsia="Arial Unicode MS" w:hAnsiTheme="majorHAnsi" w:cs="Arial"/>
                <w:bCs/>
                <w:sz w:val="22"/>
                <w:szCs w:val="22"/>
              </w:rPr>
              <w:t>TAK</w:t>
            </w:r>
          </w:p>
          <w:p w:rsidR="007B12A5" w:rsidRDefault="007B12A5" w:rsidP="007B12A5">
            <w:pPr>
              <w:snapToGrid w:val="0"/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</w:pP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Parametr oceniany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G</w:t>
            </w:r>
          </w:p>
          <w:p w:rsidR="007B12A5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24 miesiące ≤ 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36 miesięcy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-  0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414D3B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36 miesiące ≤ G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  <w:vertAlign w:val="subscript"/>
              </w:rPr>
              <w:t xml:space="preserve">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48 miesięcy -  5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punktów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;</w:t>
            </w:r>
          </w:p>
          <w:p w:rsidR="007B12A5" w:rsidRPr="000F55C6" w:rsidRDefault="007B12A5" w:rsidP="007B12A5">
            <w:pP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G 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≥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48 miesięcy -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>10</w:t>
            </w:r>
            <w:r w:rsidRPr="000F55C6">
              <w:rPr>
                <w:rFonts w:asciiTheme="majorHAnsi" w:eastAsia="Arial Unicode MS" w:hAnsiTheme="majorHAnsi" w:cs="Arial"/>
                <w:b/>
                <w:bCs/>
                <w:sz w:val="18"/>
                <w:szCs w:val="18"/>
              </w:rPr>
              <w:t xml:space="preserve"> punktów</w:t>
            </w:r>
          </w:p>
        </w:tc>
        <w:tc>
          <w:tcPr>
            <w:tcW w:w="2552" w:type="dxa"/>
          </w:tcPr>
          <w:p w:rsidR="007B12A5" w:rsidRPr="00CB25D2" w:rsidRDefault="007B12A5" w:rsidP="007B12A5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  <w:t>Przeglądy techniczne wraz z konserwacją w okresie gwarancji - w zakresie i terminach zgodnych z dokumentacją DTR wykonywane na koszt dostawcy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MS Mincho" w:hAnsiTheme="majorHAnsi" w:cs="Arial"/>
                <w:bCs/>
                <w:sz w:val="22"/>
                <w:szCs w:val="22"/>
                <w:lang w:eastAsia="ja-JP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Autoryzowany serwis na terenie Polski potwierdzony certyfikatem producenta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Czas reakcji serwisu na zgłoszenie z podjęciem naprawy (nie dłuższy niż 48 h) w dni robocze (od </w:t>
            </w:r>
            <w:proofErr w:type="spellStart"/>
            <w:r w:rsidRPr="00CB25D2">
              <w:rPr>
                <w:rFonts w:asciiTheme="majorHAnsi" w:hAnsiTheme="majorHAnsi" w:cs="Arial"/>
                <w:sz w:val="22"/>
                <w:szCs w:val="22"/>
              </w:rPr>
              <w:t>pn-pt</w:t>
            </w:r>
            <w:proofErr w:type="spellEnd"/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z wyłączeniem dni ustawowo wolnych od pracy)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Termin wykonania naprawy gwarancyjnej bez konieczności importu części zamiennych – maks. 3 dni roboczych od poniedziałku do piątku z wyłączeniem dni ustawowo wolnych od pracy, liczony od daty zgłoszenia o wadzie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0B16FB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Termin wykonania naprawy gwarancyjnej z koniecznością importu c</w:t>
            </w:r>
            <w:r w:rsidR="0019186D" w:rsidRPr="000B16FB">
              <w:rPr>
                <w:rFonts w:asciiTheme="majorHAnsi" w:hAnsiTheme="majorHAnsi" w:cs="Arial"/>
                <w:sz w:val="22"/>
                <w:szCs w:val="22"/>
              </w:rPr>
              <w:t>zęści zamiennych – maks. 10 dni</w:t>
            </w:r>
            <w:r w:rsidRPr="000B16FB">
              <w:rPr>
                <w:rFonts w:asciiTheme="majorHAnsi" w:hAnsiTheme="majorHAnsi" w:cs="Arial"/>
                <w:sz w:val="22"/>
                <w:szCs w:val="22"/>
              </w:rPr>
              <w:t xml:space="preserve"> roboczych od poniedziałku do piątku z wyłączeniem dni ustawowo wolnych od pracy, liczony od daty zgłoszenia o wadzie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0B16FB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Wymiana uszkodzonego podzespołu na nowy po maks. trzech nieskutecznych próbach jego naprawy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0B16FB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0B16FB">
              <w:rPr>
                <w:rFonts w:asciiTheme="majorHAnsi" w:hAnsiTheme="majorHAnsi" w:cs="Arial"/>
                <w:sz w:val="22"/>
                <w:szCs w:val="22"/>
              </w:rPr>
              <w:t>Okres gwarancji dla wymienionych na nowe podzespołów z powodu ich uszkodzenia w końcowym okresie zaoferowanej gwarancji - liczony od dnia ich zainstalowania minimum 6 miesięcy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bCs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338"/>
        </w:trPr>
        <w:tc>
          <w:tcPr>
            <w:tcW w:w="582" w:type="dxa"/>
            <w:shd w:val="clear" w:color="auto" w:fill="E7E6E6" w:themeFill="background2"/>
          </w:tcPr>
          <w:p w:rsidR="0010648E" w:rsidRPr="00CB25D2" w:rsidRDefault="0010648E" w:rsidP="0010648E">
            <w:pPr>
              <w:tabs>
                <w:tab w:val="left" w:pos="720"/>
              </w:tabs>
              <w:snapToGrid w:val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091" w:type="dxa"/>
            <w:gridSpan w:val="2"/>
            <w:shd w:val="clear" w:color="auto" w:fill="E7E6E6" w:themeFill="background2"/>
            <w:vAlign w:val="center"/>
          </w:tcPr>
          <w:p w:rsidR="0010648E" w:rsidRPr="00CB25D2" w:rsidRDefault="0010648E" w:rsidP="0010648E">
            <w:pPr>
              <w:snapToGrid w:val="0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SZKOLENIE</w:t>
            </w:r>
          </w:p>
        </w:tc>
        <w:tc>
          <w:tcPr>
            <w:tcW w:w="2268" w:type="dxa"/>
            <w:shd w:val="clear" w:color="auto" w:fill="E7E6E6" w:themeFill="background2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Szkolenia personelu użytkownika w zakresie obsługi dostarczanych urządzeń  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przez min. 2 dni robocze po 5 godz., bez ograniczenia liczby szkolonych osób w terminie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przed podpisaniem protokołu odbioru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0648E" w:rsidRPr="00CB25D2" w:rsidTr="007B12A5">
        <w:trPr>
          <w:trHeight w:val="226"/>
        </w:trPr>
        <w:tc>
          <w:tcPr>
            <w:tcW w:w="582" w:type="dxa"/>
          </w:tcPr>
          <w:p w:rsidR="0010648E" w:rsidRPr="00CB25D2" w:rsidRDefault="0010648E" w:rsidP="00374939">
            <w:pPr>
              <w:widowControl w:val="0"/>
              <w:numPr>
                <w:ilvl w:val="0"/>
                <w:numId w:val="14"/>
              </w:numPr>
              <w:tabs>
                <w:tab w:val="left" w:pos="720"/>
              </w:tabs>
              <w:suppressAutoHyphens/>
              <w:snapToGrid w:val="0"/>
              <w:jc w:val="both"/>
              <w:rPr>
                <w:rFonts w:asciiTheme="majorHAnsi" w:eastAsia="Arial Unicode MS" w:hAnsiTheme="majorHAnsi" w:cs="Arial"/>
                <w:sz w:val="22"/>
                <w:szCs w:val="22"/>
              </w:rPr>
            </w:pPr>
          </w:p>
        </w:tc>
        <w:tc>
          <w:tcPr>
            <w:tcW w:w="4091" w:type="dxa"/>
            <w:gridSpan w:val="2"/>
          </w:tcPr>
          <w:p w:rsidR="0010648E" w:rsidRPr="00CB25D2" w:rsidRDefault="0010648E" w:rsidP="0010648E">
            <w:pPr>
              <w:snapToGrid w:val="0"/>
              <w:rPr>
                <w:rFonts w:asciiTheme="majorHAnsi" w:eastAsia="Arial Unicode MS" w:hAnsiTheme="majorHAnsi" w:cs="Arial"/>
                <w:sz w:val="22"/>
                <w:szCs w:val="22"/>
              </w:rPr>
            </w:pP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Szkolenia dodatkowe personelu użytkownika w zakresie obsługi dostarczanych urządzeń  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>–</w:t>
            </w: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t xml:space="preserve"> przez min. 2 dni robocze po maks. 5 godz., w terminach </w:t>
            </w:r>
            <w:r w:rsidRPr="00CB25D2">
              <w:rPr>
                <w:rFonts w:asciiTheme="majorHAnsi" w:eastAsia="Arial Unicode MS" w:hAnsiTheme="majorHAnsi" w:cs="Arial"/>
                <w:sz w:val="22"/>
                <w:szCs w:val="22"/>
              </w:rPr>
              <w:lastRenderedPageBreak/>
              <w:t>wspólnie uzgodnionych</w:t>
            </w:r>
            <w:r w:rsidRPr="00CB25D2">
              <w:rPr>
                <w:rFonts w:asciiTheme="majorHAnsi" w:hAnsiTheme="majorHAnsi" w:cs="Arial"/>
                <w:sz w:val="22"/>
                <w:szCs w:val="22"/>
              </w:rPr>
              <w:t xml:space="preserve"> w okresie do 2 miesięcy od daty odbioru</w:t>
            </w:r>
          </w:p>
        </w:tc>
        <w:tc>
          <w:tcPr>
            <w:tcW w:w="2268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CB25D2">
              <w:rPr>
                <w:rFonts w:asciiTheme="majorHAnsi" w:hAnsiTheme="majorHAnsi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552" w:type="dxa"/>
          </w:tcPr>
          <w:p w:rsidR="0010648E" w:rsidRPr="00CB25D2" w:rsidRDefault="0010648E" w:rsidP="0010648E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FE17D9" w:rsidRPr="00CB25D2" w:rsidRDefault="00FE17D9" w:rsidP="00FE17D9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17D9" w:rsidRPr="00CB25D2" w:rsidRDefault="00FE17D9" w:rsidP="00FE17D9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17D9" w:rsidRPr="00CB25D2" w:rsidRDefault="00FE17D9" w:rsidP="00FE17D9">
      <w:pPr>
        <w:pStyle w:val="Nagwekstrony"/>
        <w:tabs>
          <w:tab w:val="left" w:pos="708"/>
        </w:tabs>
        <w:rPr>
          <w:rFonts w:asciiTheme="majorHAnsi" w:hAnsiTheme="majorHAnsi" w:cs="Arial"/>
          <w:sz w:val="20"/>
          <w:szCs w:val="20"/>
        </w:rPr>
      </w:pPr>
    </w:p>
    <w:p w:rsidR="007B12A5" w:rsidRPr="00E02935" w:rsidRDefault="007B12A5" w:rsidP="007B12A5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:rsidR="007B12A5" w:rsidRPr="002959A7" w:rsidRDefault="007B12A5" w:rsidP="007B12A5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p w:rsidR="00AC1695" w:rsidRPr="00CB25D2" w:rsidRDefault="00AC1695">
      <w:pPr>
        <w:rPr>
          <w:rFonts w:asciiTheme="majorHAnsi" w:hAnsiTheme="majorHAnsi"/>
        </w:rPr>
      </w:pPr>
    </w:p>
    <w:sectPr w:rsidR="00AC1695" w:rsidRPr="00CB25D2" w:rsidSect="008F6B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C6" w:rsidRDefault="000F55C6" w:rsidP="00F3035B">
      <w:r>
        <w:separator/>
      </w:r>
    </w:p>
  </w:endnote>
  <w:endnote w:type="continuationSeparator" w:id="0">
    <w:p w:rsidR="000F55C6" w:rsidRDefault="000F55C6" w:rsidP="00F3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8542835"/>
      <w:docPartObj>
        <w:docPartGallery w:val="Page Numbers (Bottom of Page)"/>
        <w:docPartUnique/>
      </w:docPartObj>
    </w:sdtPr>
    <w:sdtEndPr/>
    <w:sdtContent>
      <w:p w:rsidR="000F55C6" w:rsidRDefault="000F55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A1E">
          <w:rPr>
            <w:noProof/>
          </w:rPr>
          <w:t>6</w:t>
        </w:r>
        <w:r>
          <w:fldChar w:fldCharType="end"/>
        </w:r>
      </w:p>
    </w:sdtContent>
  </w:sdt>
  <w:p w:rsidR="000F55C6" w:rsidRDefault="000F55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C6" w:rsidRDefault="000F55C6" w:rsidP="00F3035B">
      <w:r>
        <w:separator/>
      </w:r>
    </w:p>
  </w:footnote>
  <w:footnote w:type="continuationSeparator" w:id="0">
    <w:p w:rsidR="000F55C6" w:rsidRDefault="000F55C6" w:rsidP="00F3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C6" w:rsidRDefault="000F55C6" w:rsidP="00D2469B">
    <w:pPr>
      <w:pStyle w:val="Nagwek"/>
      <w:rPr>
        <w:rFonts w:ascii="Arial" w:hAnsi="Arial" w:cs="Arial"/>
        <w:b/>
        <w:bCs/>
        <w:sz w:val="20"/>
        <w:u w:val="single"/>
      </w:rPr>
    </w:pPr>
    <w:r w:rsidRPr="00483401">
      <w:rPr>
        <w:rFonts w:ascii="Arial" w:hAnsi="Arial" w:cs="Arial"/>
        <w:sz w:val="20"/>
        <w:u w:val="single"/>
      </w:rPr>
      <w:t xml:space="preserve">znak sprawy: </w:t>
    </w:r>
    <w:r>
      <w:rPr>
        <w:rFonts w:ascii="Arial" w:hAnsi="Arial" w:cs="Arial"/>
        <w:b/>
        <w:bCs/>
        <w:sz w:val="20"/>
        <w:u w:val="single"/>
      </w:rPr>
      <w:t>DZPUCK.262.037.2020</w:t>
    </w:r>
  </w:p>
  <w:p w:rsidR="000F55C6" w:rsidRPr="00F3035B" w:rsidRDefault="000F55C6" w:rsidP="00F3035B">
    <w:pPr>
      <w:pStyle w:val="Nagwek"/>
      <w:jc w:val="right"/>
      <w:rPr>
        <w:rFonts w:ascii="Arial" w:hAnsi="Arial" w:cs="Arial"/>
        <w:color w:val="808080"/>
        <w:sz w:val="20"/>
      </w:rPr>
    </w:pPr>
    <w:r w:rsidRPr="00F3035B">
      <w:rPr>
        <w:rFonts w:ascii="Arial" w:hAnsi="Arial" w:cs="Arial"/>
        <w:b/>
        <w:bCs/>
        <w:sz w:val="20"/>
      </w:rPr>
      <w:t>Załącznik nr 2</w:t>
    </w:r>
    <w:r>
      <w:rPr>
        <w:rFonts w:ascii="Arial" w:hAnsi="Arial" w:cs="Arial"/>
        <w:b/>
        <w:bCs/>
        <w:sz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E2F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BEC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75E90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F7199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A5831"/>
    <w:multiLevelType w:val="hybridMultilevel"/>
    <w:tmpl w:val="8AA0B414"/>
    <w:lvl w:ilvl="0" w:tplc="5BEE3B48">
      <w:start w:val="4"/>
      <w:numFmt w:val="bullet"/>
      <w:lvlText w:val="-"/>
      <w:lvlJc w:val="left"/>
      <w:pPr>
        <w:ind w:left="227" w:hanging="227"/>
      </w:pPr>
      <w:rPr>
        <w:rFonts w:ascii="Arial" w:eastAsia="Arial Unicode MS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F71D9C"/>
    <w:multiLevelType w:val="hybridMultilevel"/>
    <w:tmpl w:val="E996B406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B1C3F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57D74"/>
    <w:multiLevelType w:val="hybridMultilevel"/>
    <w:tmpl w:val="56D20EDE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55653ED2"/>
    <w:multiLevelType w:val="multilevel"/>
    <w:tmpl w:val="6A107D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89C1D26"/>
    <w:multiLevelType w:val="hybridMultilevel"/>
    <w:tmpl w:val="B8D418A6"/>
    <w:lvl w:ilvl="0" w:tplc="D6120896">
      <w:start w:val="1"/>
      <w:numFmt w:val="decimal"/>
      <w:lvlText w:val="%1."/>
      <w:lvlJc w:val="right"/>
      <w:pPr>
        <w:ind w:left="1470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3B5935"/>
    <w:multiLevelType w:val="hybridMultilevel"/>
    <w:tmpl w:val="1F3EED62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0179CD"/>
    <w:multiLevelType w:val="hybridMultilevel"/>
    <w:tmpl w:val="FAC649A4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B85E72"/>
    <w:multiLevelType w:val="hybridMultilevel"/>
    <w:tmpl w:val="B8D418A6"/>
    <w:lvl w:ilvl="0" w:tplc="D6120896">
      <w:start w:val="1"/>
      <w:numFmt w:val="decimal"/>
      <w:lvlText w:val="%1."/>
      <w:lvlJc w:val="right"/>
      <w:pPr>
        <w:ind w:left="1470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522EF7"/>
    <w:multiLevelType w:val="hybridMultilevel"/>
    <w:tmpl w:val="005AE8AE"/>
    <w:lvl w:ilvl="0" w:tplc="D6120896">
      <w:start w:val="1"/>
      <w:numFmt w:val="decimal"/>
      <w:lvlText w:val="%1."/>
      <w:lvlJc w:val="right"/>
      <w:pPr>
        <w:ind w:left="1583" w:hanging="118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C0"/>
    <w:rsid w:val="0001020E"/>
    <w:rsid w:val="00032F7C"/>
    <w:rsid w:val="000401F3"/>
    <w:rsid w:val="000B16FB"/>
    <w:rsid w:val="000E7F91"/>
    <w:rsid w:val="000F55C6"/>
    <w:rsid w:val="0010648E"/>
    <w:rsid w:val="00115868"/>
    <w:rsid w:val="0011685E"/>
    <w:rsid w:val="00122807"/>
    <w:rsid w:val="00167ED0"/>
    <w:rsid w:val="00173868"/>
    <w:rsid w:val="0019186D"/>
    <w:rsid w:val="001A4782"/>
    <w:rsid w:val="0025100E"/>
    <w:rsid w:val="0026072C"/>
    <w:rsid w:val="002816F5"/>
    <w:rsid w:val="002D621C"/>
    <w:rsid w:val="002E7B11"/>
    <w:rsid w:val="0036750C"/>
    <w:rsid w:val="00374939"/>
    <w:rsid w:val="003B4AE8"/>
    <w:rsid w:val="003C1B28"/>
    <w:rsid w:val="0040289C"/>
    <w:rsid w:val="00414D3B"/>
    <w:rsid w:val="00525589"/>
    <w:rsid w:val="00536BE6"/>
    <w:rsid w:val="00555EF0"/>
    <w:rsid w:val="00572667"/>
    <w:rsid w:val="005E141B"/>
    <w:rsid w:val="0062212F"/>
    <w:rsid w:val="007074F0"/>
    <w:rsid w:val="00747CCF"/>
    <w:rsid w:val="0076207A"/>
    <w:rsid w:val="007817C0"/>
    <w:rsid w:val="00784170"/>
    <w:rsid w:val="007B12A5"/>
    <w:rsid w:val="007C24C3"/>
    <w:rsid w:val="007D663A"/>
    <w:rsid w:val="007E2D07"/>
    <w:rsid w:val="00850BA3"/>
    <w:rsid w:val="00851F55"/>
    <w:rsid w:val="00852A1E"/>
    <w:rsid w:val="00852D52"/>
    <w:rsid w:val="008D410F"/>
    <w:rsid w:val="008F6B73"/>
    <w:rsid w:val="009E53D2"/>
    <w:rsid w:val="00A60D9E"/>
    <w:rsid w:val="00AC1695"/>
    <w:rsid w:val="00AC2E69"/>
    <w:rsid w:val="00B5622D"/>
    <w:rsid w:val="00B72CAC"/>
    <w:rsid w:val="00BE25DD"/>
    <w:rsid w:val="00C767CF"/>
    <w:rsid w:val="00CB25D2"/>
    <w:rsid w:val="00D2469B"/>
    <w:rsid w:val="00D548AA"/>
    <w:rsid w:val="00DA7A08"/>
    <w:rsid w:val="00E464DB"/>
    <w:rsid w:val="00E67E5C"/>
    <w:rsid w:val="00E91626"/>
    <w:rsid w:val="00ED2E7A"/>
    <w:rsid w:val="00F3035B"/>
    <w:rsid w:val="00FC39F4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F2B47-8A44-4195-AD68-0D2D27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"/>
    <w:basedOn w:val="Normalny"/>
    <w:link w:val="TekstpodstawowyZnak"/>
    <w:rsid w:val="00FE17D9"/>
    <w:rPr>
      <w:sz w:val="28"/>
      <w:szCs w:val="28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rsid w:val="00FE17D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Nagwekstrony">
    <w:name w:val="Nagłówek strony"/>
    <w:rsid w:val="00FE17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17D9"/>
    <w:pPr>
      <w:widowControl w:val="0"/>
      <w:adjustRightInd w:val="0"/>
      <w:spacing w:line="360" w:lineRule="atLeast"/>
      <w:jc w:val="center"/>
      <w:textAlignment w:val="baseline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E17D9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Pogrubienie">
    <w:name w:val="Strong"/>
    <w:uiPriority w:val="22"/>
    <w:qFormat/>
    <w:rsid w:val="00FE17D9"/>
    <w:rPr>
      <w:b/>
      <w:bCs/>
    </w:rPr>
  </w:style>
  <w:style w:type="paragraph" w:styleId="Akapitzlist">
    <w:name w:val="List Paragraph"/>
    <w:basedOn w:val="Normalny"/>
    <w:uiPriority w:val="34"/>
    <w:qFormat/>
    <w:rsid w:val="00536BE6"/>
    <w:pPr>
      <w:ind w:left="720"/>
      <w:contextualSpacing/>
    </w:pPr>
  </w:style>
  <w:style w:type="paragraph" w:customStyle="1" w:styleId="Standard">
    <w:name w:val="Standard"/>
    <w:rsid w:val="00A60D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37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0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3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0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3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1791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Kozieł</dc:creator>
  <cp:keywords/>
  <dc:description/>
  <cp:lastModifiedBy>Beata Przybysz</cp:lastModifiedBy>
  <cp:revision>24</cp:revision>
  <dcterms:created xsi:type="dcterms:W3CDTF">2020-02-04T09:58:00Z</dcterms:created>
  <dcterms:modified xsi:type="dcterms:W3CDTF">2020-03-04T12:32:00Z</dcterms:modified>
</cp:coreProperties>
</file>