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F44" w:rsidRDefault="00E70F44" w:rsidP="00E70F44">
      <w:pPr>
        <w:pStyle w:val="Tytu"/>
        <w:tabs>
          <w:tab w:val="left" w:pos="5387"/>
        </w:tabs>
        <w:spacing w:line="24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_DdeLink__49891_3085759772"/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Załącznik nr 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3.3</w:t>
      </w: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E70F44" w:rsidRPr="001A551B" w:rsidRDefault="00E70F44" w:rsidP="00E70F44">
      <w:pPr>
        <w:pStyle w:val="Tytu"/>
        <w:tabs>
          <w:tab w:val="left" w:pos="5387"/>
        </w:tabs>
        <w:spacing w:line="24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bookmarkEnd w:id="0"/>
    <w:p w:rsidR="00E70F44" w:rsidRDefault="00E70F44" w:rsidP="00E70F44">
      <w:pPr>
        <w:pStyle w:val="Tytu"/>
        <w:spacing w:line="240" w:lineRule="auto"/>
        <w:rPr>
          <w:rFonts w:ascii="Calibri Light" w:hAnsi="Calibri Light" w:cs="Calibri Light"/>
          <w:b/>
          <w:bCs/>
          <w:sz w:val="24"/>
          <w:szCs w:val="22"/>
        </w:rPr>
      </w:pPr>
      <w:r>
        <w:rPr>
          <w:rFonts w:ascii="Calibri Light" w:hAnsi="Calibri Light" w:cs="Calibri Light"/>
          <w:b/>
          <w:bCs/>
          <w:sz w:val="24"/>
          <w:szCs w:val="22"/>
        </w:rPr>
        <w:t>OPIS PRZEDMIOTU ZAMÓWIENIA - ZESTAWIENIE PARAMETRÓW TECHNICZNYCH</w:t>
      </w:r>
      <w:r>
        <w:rPr>
          <w:rFonts w:ascii="Calibri Light" w:hAnsi="Calibri Light" w:cs="Calibri Light"/>
          <w:b/>
          <w:bCs/>
          <w:sz w:val="24"/>
          <w:szCs w:val="22"/>
        </w:rPr>
        <w:t xml:space="preserve"> – Modyfikacja 04.03.2020</w:t>
      </w:r>
      <w:bookmarkStart w:id="1" w:name="_GoBack"/>
      <w:bookmarkEnd w:id="1"/>
    </w:p>
    <w:p w:rsidR="00E70F44" w:rsidRPr="007866E7" w:rsidRDefault="00E70F44" w:rsidP="00E70F44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A758CB">
        <w:rPr>
          <w:rFonts w:ascii="Calibri Light" w:hAnsi="Calibri Light" w:cs="Calibri Light"/>
          <w:b/>
          <w:bCs/>
          <w:szCs w:val="22"/>
        </w:rPr>
        <w:t>Część nr 3 – Komputery typu AIO</w:t>
      </w:r>
    </w:p>
    <w:p w:rsidR="00E70F44" w:rsidRDefault="00E70F44">
      <w:pPr>
        <w:pStyle w:val="Standard"/>
        <w:ind w:left="357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</w:p>
    <w:p w:rsidR="00E70F44" w:rsidRDefault="00E70F44">
      <w:pPr>
        <w:pStyle w:val="Standard"/>
        <w:ind w:left="357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</w:p>
    <w:p w:rsidR="00A1538E" w:rsidRDefault="00A94212">
      <w:pPr>
        <w:pStyle w:val="Standard"/>
        <w:ind w:left="357"/>
        <w:jc w:val="center"/>
      </w:pP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KOMPUTER TYPU AIO – 18 sztuk</w:t>
      </w:r>
    </w:p>
    <w:p w:rsidR="00A1538E" w:rsidRDefault="00A1538E">
      <w:pPr>
        <w:pStyle w:val="Standard"/>
        <w:jc w:val="center"/>
        <w:rPr>
          <w:rFonts w:ascii="Arial" w:hAnsi="Arial" w:cs="Arial"/>
          <w:sz w:val="20"/>
          <w:szCs w:val="20"/>
          <w:u w:val="single"/>
        </w:rPr>
      </w:pPr>
    </w:p>
    <w:p w:rsidR="00A1538E" w:rsidRDefault="00A94212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urządzenia (typ/producent):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</w:p>
    <w:p w:rsidR="00A1538E" w:rsidRDefault="00A1538E">
      <w:pPr>
        <w:pStyle w:val="Standard"/>
        <w:jc w:val="both"/>
        <w:rPr>
          <w:rFonts w:ascii="Arial" w:hAnsi="Arial" w:cs="Arial"/>
        </w:rPr>
      </w:pPr>
    </w:p>
    <w:tbl>
      <w:tblPr>
        <w:tblW w:w="9317" w:type="dxa"/>
        <w:jc w:val="center"/>
        <w:tblBorders>
          <w:top w:val="double" w:sz="2" w:space="0" w:color="000001"/>
          <w:left w:val="double" w:sz="2" w:space="0" w:color="000001"/>
          <w:bottom w:val="single" w:sz="4" w:space="0" w:color="000001"/>
          <w:insideH w:val="single" w:sz="4" w:space="0" w:color="000001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4910"/>
        <w:gridCol w:w="2204"/>
        <w:gridCol w:w="2203"/>
      </w:tblGrid>
      <w:tr w:rsidR="00A1538E">
        <w:trPr>
          <w:cantSplit/>
          <w:trHeight w:val="584"/>
          <w:jc w:val="center"/>
        </w:trPr>
        <w:tc>
          <w:tcPr>
            <w:tcW w:w="4910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04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03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tabs>
                <w:tab w:val="center" w:pos="2514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Wersja i data BIOS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produkcji (urządzenie nie może być wyprodukowane wcześniej niż 1 rok od terminu składania ofert)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Procesor w architekturze x86_64, 6-rdzeniowy, o bazowym taktowaniu nie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mniejszym niż 3GHz, min. 9MB cache, ze zintegrowaną grafiką, TDP maks. 65W, , ze sprzętowym wsparciem wirtualizacji (VT-x lub AMD-V), osiągający w teście PassMark CPU Mark dostępnym na stronie https://www.cpubenchmark.net/cpu_list.php wynik nie mniejszy ni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ż 11895 punktów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1x8GB DDR4 2666 MHz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Płyta główna i funkcje BIOS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Płyta główna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zaprojektowana i wyprodukowana na zlecenie producenta komputera, dedykowana dla danego urządzenia.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Sprzętowe wsparcie technologii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wirtualizacji realizowane łącznie w procesorze, chipsecie płyty głównej oraz w BIOS systemu (możliwość włączenia/wyłączenia sprzętowego wsparcia wirtualizacji dla poszczególnych komponentów systemu).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 złącza DDR4 z obsługą 32GB pamięci RAM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Musi posiadać możliwość ustawienia zależności pomiędzy hasłem administratora a hasłem systemowy tak, aby nie było możliwe wprowadzenie zmian w BIOS wyłącznie po podaniu hasła systemowego. Funkcja ta ma wymuszać podanie hasła administratora przy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próbie zmiany ustawień BIOS w sytuacji, gdy zostało podane hasło systemowe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 ustawienia portów USB w trybie „no BOOT”, czyli podczas startu komputer nie wykrywa urządzeń typu USB, natomiast po uruchomieniu systemu operacyjnego porty USB są ak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tywne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Możliwość, bez uruchamiania systemu operacyjnego z dysku twardego komputera lub innych podłączonych do niego urządzeń zewnętrznych odczytania z BIOS informacji o:</w:t>
            </w:r>
          </w:p>
          <w:p w:rsidR="00A1538E" w:rsidRDefault="00A94212">
            <w:pPr>
              <w:pStyle w:val="Standard"/>
              <w:numPr>
                <w:ilvl w:val="0"/>
                <w:numId w:val="3"/>
              </w:numPr>
              <w:jc w:val="both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wersji BIOS,</w:t>
            </w:r>
          </w:p>
          <w:p w:rsidR="00A1538E" w:rsidRDefault="00A94212">
            <w:pPr>
              <w:pStyle w:val="Standard"/>
              <w:numPr>
                <w:ilvl w:val="0"/>
                <w:numId w:val="3"/>
              </w:numPr>
              <w:jc w:val="both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nr seryjnym komputera</w:t>
            </w:r>
          </w:p>
          <w:p w:rsidR="00A1538E" w:rsidRDefault="00A94212">
            <w:pPr>
              <w:pStyle w:val="Standard"/>
              <w:numPr>
                <w:ilvl w:val="0"/>
                <w:numId w:val="3"/>
              </w:numPr>
              <w:jc w:val="both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 xml:space="preserve">ilości i sposobu obłożenia slotów </w:t>
            </w: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pamięciami RAM,</w:t>
            </w:r>
          </w:p>
          <w:p w:rsidR="00A1538E" w:rsidRDefault="00A94212">
            <w:pPr>
              <w:pStyle w:val="Standard"/>
              <w:numPr>
                <w:ilvl w:val="0"/>
                <w:numId w:val="3"/>
              </w:numPr>
              <w:jc w:val="both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typie procesora wraz z informacją o ilości rdzeni, wielkości pamięci cache L2 i L3,</w:t>
            </w:r>
          </w:p>
          <w:p w:rsidR="00A1538E" w:rsidRDefault="00A94212">
            <w:pPr>
              <w:pStyle w:val="Standard"/>
              <w:numPr>
                <w:ilvl w:val="0"/>
                <w:numId w:val="3"/>
              </w:numPr>
              <w:jc w:val="both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pojemności zainstalowanego dysku twardego</w:t>
            </w:r>
          </w:p>
          <w:p w:rsidR="00A1538E" w:rsidRDefault="00A94212">
            <w:pPr>
              <w:pStyle w:val="Standard"/>
              <w:numPr>
                <w:ilvl w:val="0"/>
                <w:numId w:val="3"/>
              </w:numPr>
              <w:jc w:val="both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MAC adresie zintegrowanej karty sieciowej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dysku SSD M.2 PCIe NVMe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Nie mniej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niż </w:t>
            </w:r>
            <w:r>
              <w:rPr>
                <w:rFonts w:ascii="Arial" w:hAnsi="Arial" w:cs="Arial"/>
                <w:sz w:val="18"/>
                <w:szCs w:val="18"/>
              </w:rPr>
              <w:t>256GB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Prędkość odczytu i zapisu sekwencyjnego minimum 1200 MB/s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DVD-RW +/- RW 8x, SATA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Graficzna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Grafika zintegrowana z procesorem powinna umożliwiać pracę z trzema monitorami, ze wsparciem DirectX 12, OpenGL 4.5, pamięć współdzielona z pamięcią RAM, dynamicznie przydzielana do min. 4GB;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br/>
              <w:t>obsługująca rozdzielczości :</w:t>
            </w:r>
          </w:p>
          <w:p w:rsidR="00A1538E" w:rsidRDefault="00A9421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3840x2160 @ 60Hz (cyfrowo) </w:t>
            </w:r>
          </w:p>
          <w:p w:rsidR="00A1538E" w:rsidRDefault="00A9421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2560x1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600 @ 60Hz (cyfrowo) </w:t>
            </w:r>
          </w:p>
          <w:p w:rsidR="00A1538E" w:rsidRDefault="00A9421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4096x2304 @ 60Hz (cyfrowo) </w:t>
            </w:r>
          </w:p>
          <w:p w:rsidR="00A1538E" w:rsidRDefault="00A94212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1920x1080 @ 60Hz (analogowo i cyfrowo) </w:t>
            </w:r>
          </w:p>
          <w:p w:rsidR="00A1538E" w:rsidRDefault="00A94212">
            <w:pPr>
              <w:pStyle w:val="Standard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Oferowana karta graficzna musi osiągać w teście PassMark Performance Test co najmniej wynik 1200 punktów w G3D Rating, wynik dostępny na stronie: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7">
              <w:bookmarkStart w:id="2" w:name="OLE_LINK3"/>
              <w:bookmarkStart w:id="3" w:name="OLE_LINK2"/>
              <w:bookmarkStart w:id="4" w:name="OLE_LINK1"/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http://www.videocardbenchmark.net/gpu_list.php</w:t>
              </w:r>
            </w:hyperlink>
            <w:bookmarkEnd w:id="2"/>
            <w:bookmarkEnd w:id="3"/>
            <w:bookmarkEnd w:id="4"/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Sieciowa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Karta sieciowa 10/100/1000 Ethernet RJ 45, zintegrowana z płytą główną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Obsługa protokołu WoL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(funkcja włączana przez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użytkownika),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Karta WiFi 802.11ac z funkcją MU-MIMO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24-bitowa karta dźwiękowa zintegrowana z płytą główną, zgodna z High Definition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 xml:space="preserve">Porty słuchawek i mikrofonu, możliwość osiągnięcia poprzez pojedynczy port </w:t>
            </w: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Combo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TAK.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min. 1 x DisplayPort v1.2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port USB 3.1 Type-C,</w:t>
            </w:r>
          </w:p>
          <w:p w:rsidR="00A1538E" w:rsidRDefault="00A94212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 portow USB 3.1 Type-A pierwszej generacji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SD 4.0 Media Card Reader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Obudowa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Obudowa typu All-in-one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Maksymalne wymiary bez podstawy:</w:t>
            </w:r>
          </w:p>
          <w:p w:rsidR="00A1538E" w:rsidRDefault="00A94212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Wysokość: 468mm</w:t>
            </w:r>
          </w:p>
          <w:p w:rsidR="00A1538E" w:rsidRDefault="00A94212">
            <w:pPr>
              <w:pStyle w:val="Standard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Szerokość: 542mm</w:t>
            </w:r>
          </w:p>
          <w:p w:rsidR="00A1538E" w:rsidRDefault="00A94212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Głębokość: 181mm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Obudowa musi umożliwiać zastosowanie zabezpieczenia fizycznego w postaci linki metalowej (złącze blokady Kensington)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Każdy komputer musi być oznaczony niepowtarzalnym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numerem seryjnym umieszonym na obudowie, numer ten musi być również wpisany na stałe w BIOS.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Maksymalna waga 8,8kg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Zasilacz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color w:val="CE181E"/>
              </w:rPr>
            </w:pPr>
            <w:r>
              <w:rPr>
                <w:rFonts w:ascii="Arial" w:hAnsi="Arial" w:cs="Arial"/>
                <w:bCs/>
                <w:color w:val="CE181E"/>
                <w:sz w:val="18"/>
                <w:szCs w:val="18"/>
              </w:rPr>
              <w:t>Zasilacz o nie większej maksymalnej mocy 240 W pracujący w sieci 230V 50/60Hz prądu zmiennego, o sprawności min. 89%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</w:pPr>
            <w:r>
              <w:rPr>
                <w:rFonts w:ascii="Arial" w:hAnsi="Arial" w:cs="Arial"/>
                <w:bCs/>
                <w:sz w:val="18"/>
                <w:szCs w:val="18"/>
              </w:rPr>
              <w:t>W zestawie przewód zasilania C13, 230V, min. 1.8 m, europejski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USB w  układzie QWERTY, amerykańska/międzynarodowa,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numeryczna wyraźnie oddzielona od reszty przycisków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Mysz</w:t>
            </w:r>
          </w:p>
        </w:tc>
      </w:tr>
      <w:tr w:rsidR="00A1538E">
        <w:trPr>
          <w:cantSplit/>
          <w:trHeight w:val="317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Mysz optyczna USB z rolką,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249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Rozdzielczość min. 1000 dpi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Trzeci przycisk w pokrętle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System operacyjny powinien posiadać możliwość wpięcia i konfiguracji komputera w domenie firmy </w:t>
            </w:r>
            <w:r>
              <w:rPr>
                <w:rFonts w:ascii="Arial" w:hAnsi="Arial" w:cs="Arial"/>
                <w:sz w:val="18"/>
                <w:szCs w:val="18"/>
              </w:rPr>
              <w:t>Zamawiającego  w systemie Active Directory.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Licencja dla Windows 10 Professional 64bit PL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Zainstalowany system operacyjny nie wymagający aktywacji za pomocą telefonu lub Internetu w firmie Microsoft.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" w:name="_Hlk490206843"/>
            <w:bookmarkEnd w:id="5"/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System operacyjny powinien być </w:t>
            </w:r>
            <w:r>
              <w:rPr>
                <w:rFonts w:ascii="Arial" w:hAnsi="Arial" w:cs="Arial"/>
                <w:sz w:val="18"/>
                <w:szCs w:val="18"/>
              </w:rPr>
              <w:t>dostarczony na systemowej płycie instalacyjnej lub w wersji Recovery na niekasowalnej partycji dysku.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System operacyjny powinien posiadać możliwość pobrania obrazu systemu z sieci internet bezpośrednio z serwerów producenta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Certyfikacja komputera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Zgodność z normą CE – PN-EN 41003:2012 lub równoważną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TCO Certified – certyfikat dostępny na stronie https://tcocertified.com/product-finder/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D9D9D9" w:themeFill="background1" w:themeFillShade="D9"/>
            <w:vAlign w:val="center"/>
          </w:tcPr>
          <w:p w:rsidR="00A1538E" w:rsidRDefault="00A94212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Ekran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Przekątna wyświetlanego obrazu nie mniejsza niż 23,8 cala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Współczynnik proporcji 16:9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Częstotliwości odświeżania minimum 60 Hz przy Rozdzielczości 1920 x 1080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IPS z podświetleniem LED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Gwarancja obejmuje wszystkie części zestawu komputerowego przez okres 36 </w:t>
            </w:r>
            <w:r>
              <w:rPr>
                <w:rFonts w:ascii="Arial" w:hAnsi="Arial" w:cs="Arial"/>
                <w:sz w:val="18"/>
                <w:szCs w:val="18"/>
              </w:rPr>
              <w:t>miesięcy od daty dostarczenia do Zamawiającego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reakcji serwisu – do końca następnego dnia roboczego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serwisująca musi posiadać ISO 9001:2000 lub równoważne na świadczenie usług serwisowych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weryfikacji czasu </w:t>
            </w:r>
            <w:r>
              <w:rPr>
                <w:rFonts w:ascii="Arial" w:hAnsi="Arial" w:cs="Arial"/>
                <w:sz w:val="18"/>
                <w:szCs w:val="18"/>
              </w:rPr>
              <w:t>obowiązywania i reżimu gwarancji bezpośrednio z sieci Internet za pośrednictwem strony www producenta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ma prawo oddać komputer do naprawy gwarancyjnej bez dysku twardego. W przypadku awarii dysku twardego Zamawiającemu przysługuj</w:t>
            </w:r>
            <w:r>
              <w:rPr>
                <w:rFonts w:ascii="Arial" w:hAnsi="Arial" w:cs="Arial"/>
                <w:sz w:val="18"/>
                <w:szCs w:val="18"/>
              </w:rPr>
              <w:t>e prawo do otrzymania nowego dysku bez konieczności jego wymiany po stwierdzeniu jego awarii wskazanym przez producenta programem diagnostycznym.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Serwis urządzeń musi być realizowany przez Producenta lub Autoryzowanego Partnera Serwisowego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Producenta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Telefoniczna infolinia/linia techniczna producenta komputera, dostępna w czasie obowiązywania gwarancji na sprzęt i umożliwiająca po podaniu numeru seryjnego urządzenia: weryfikację konfiguracji fabrycznej wraz z wersją </w:t>
            </w:r>
            <w:r>
              <w:rPr>
                <w:rFonts w:ascii="Arial" w:hAnsi="Arial" w:cs="Arial"/>
                <w:sz w:val="18"/>
                <w:szCs w:val="18"/>
              </w:rPr>
              <w:t>fabrycznie dostarczonego oprogramowania (system operacyjny, szczegółowa konfiguracja sprzętowa – CPU, HDD, RAM), czasu obowiązywania i typ udzielonej gwarancji.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aktualizacji i pobrania sterowników do oferowanego modelu komputera w </w:t>
            </w:r>
            <w:r>
              <w:rPr>
                <w:rFonts w:ascii="Arial" w:hAnsi="Arial" w:cs="Arial"/>
                <w:sz w:val="18"/>
                <w:szCs w:val="18"/>
              </w:rPr>
              <w:t>najnowszych certyfikowanych wersjach bezpośrednio z sieci Internet za pośrednictwem strony www producenta komputera po podaniu numeru seryjnego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8E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A1538E" w:rsidRDefault="00A94212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1538E" w:rsidRDefault="00A942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A1538E" w:rsidRDefault="00A1538E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538E" w:rsidRDefault="00A1538E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A1538E" w:rsidRDefault="00A94212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*)</w:t>
      </w:r>
    </w:p>
    <w:p w:rsidR="00A1538E" w:rsidRDefault="00A94212">
      <w:pPr>
        <w:pStyle w:val="Standard"/>
        <w:numPr>
          <w:ilvl w:val="0"/>
          <w:numId w:val="2"/>
        </w:numPr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w przypadku, gdy w rubryce </w:t>
      </w:r>
      <w:r>
        <w:rPr>
          <w:rFonts w:ascii="Arial" w:hAnsi="Arial" w:cs="Arial"/>
          <w:i/>
          <w:sz w:val="18"/>
          <w:szCs w:val="18"/>
        </w:rPr>
        <w:t>„ODPOWIEDŹ WYMAGANA”</w:t>
      </w:r>
      <w:r>
        <w:rPr>
          <w:rFonts w:ascii="Arial" w:hAnsi="Arial" w:cs="Arial"/>
          <w:sz w:val="18"/>
          <w:szCs w:val="18"/>
        </w:rPr>
        <w:t xml:space="preserve"> wymagana jest odpowiedź </w:t>
      </w:r>
      <w:r>
        <w:rPr>
          <w:rFonts w:ascii="Arial" w:hAnsi="Arial" w:cs="Arial"/>
          <w:i/>
          <w:sz w:val="18"/>
          <w:szCs w:val="18"/>
        </w:rPr>
        <w:t>TAK</w:t>
      </w:r>
      <w:r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>
        <w:rPr>
          <w:rFonts w:ascii="Arial" w:hAnsi="Arial" w:cs="Arial"/>
          <w:i/>
          <w:sz w:val="18"/>
          <w:szCs w:val="18"/>
        </w:rPr>
        <w:t>„ODPOWIEDŹ WYKONAWCY”</w:t>
      </w:r>
      <w:r>
        <w:rPr>
          <w:rFonts w:ascii="Arial" w:hAnsi="Arial" w:cs="Arial"/>
          <w:sz w:val="18"/>
          <w:szCs w:val="18"/>
        </w:rPr>
        <w:t>;</w:t>
      </w:r>
    </w:p>
    <w:p w:rsidR="00A1538E" w:rsidRDefault="00A94212">
      <w:pPr>
        <w:pStyle w:val="Standard"/>
        <w:numPr>
          <w:ilvl w:val="0"/>
          <w:numId w:val="1"/>
        </w:numPr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w przypadku, gdy w rubryce </w:t>
      </w:r>
      <w:r>
        <w:rPr>
          <w:rFonts w:ascii="Arial" w:hAnsi="Arial" w:cs="Arial"/>
          <w:i/>
          <w:sz w:val="18"/>
          <w:szCs w:val="18"/>
        </w:rPr>
        <w:t>„ODPOWIEDŹ WYMAGANA”</w:t>
      </w:r>
      <w:r>
        <w:rPr>
          <w:rFonts w:ascii="Arial" w:hAnsi="Arial" w:cs="Arial"/>
          <w:sz w:val="18"/>
          <w:szCs w:val="18"/>
        </w:rPr>
        <w:t xml:space="preserve"> wymagana jest odpowiedź </w:t>
      </w:r>
      <w:r>
        <w:rPr>
          <w:rFonts w:ascii="Arial" w:hAnsi="Arial" w:cs="Arial"/>
          <w:i/>
          <w:sz w:val="18"/>
          <w:szCs w:val="18"/>
        </w:rPr>
        <w:t>PODAĆ</w:t>
      </w:r>
      <w:r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>
        <w:rPr>
          <w:rFonts w:ascii="Arial" w:hAnsi="Arial" w:cs="Arial"/>
          <w:i/>
          <w:sz w:val="18"/>
          <w:szCs w:val="18"/>
        </w:rPr>
        <w:t>„ODPOWIEDŹ WYKONAWCY”</w:t>
      </w:r>
      <w:r>
        <w:rPr>
          <w:rFonts w:ascii="Arial" w:hAnsi="Arial" w:cs="Arial"/>
          <w:sz w:val="18"/>
          <w:szCs w:val="18"/>
        </w:rPr>
        <w:t>.</w:t>
      </w:r>
    </w:p>
    <w:p w:rsidR="00A1538E" w:rsidRDefault="00A1538E"/>
    <w:sectPr w:rsidR="00A1538E">
      <w:headerReference w:type="default" r:id="rId8"/>
      <w:pgSz w:w="11906" w:h="16838"/>
      <w:pgMar w:top="1993" w:right="1417" w:bottom="1417" w:left="1417" w:header="141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212" w:rsidRDefault="00A94212">
      <w:r>
        <w:separator/>
      </w:r>
    </w:p>
  </w:endnote>
  <w:endnote w:type="continuationSeparator" w:id="0">
    <w:p w:rsidR="00A94212" w:rsidRDefault="00A9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212" w:rsidRDefault="00A94212">
      <w:r>
        <w:separator/>
      </w:r>
    </w:p>
  </w:footnote>
  <w:footnote w:type="continuationSeparator" w:id="0">
    <w:p w:rsidR="00A94212" w:rsidRDefault="00A94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38E" w:rsidRDefault="00A1538E">
    <w:pPr>
      <w:pStyle w:val="Akapitzlist"/>
      <w:spacing w:after="0" w:line="360" w:lineRule="auto"/>
      <w:ind w:left="14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9072E"/>
    <w:multiLevelType w:val="multilevel"/>
    <w:tmpl w:val="5AA4C1D0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5CFC7F9F"/>
    <w:multiLevelType w:val="multilevel"/>
    <w:tmpl w:val="78BE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B9E4D3F"/>
    <w:multiLevelType w:val="multilevel"/>
    <w:tmpl w:val="5AB069BC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3" w15:restartNumberingAfterBreak="0">
    <w:nsid w:val="76543D4B"/>
    <w:multiLevelType w:val="multilevel"/>
    <w:tmpl w:val="59D6BB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38E"/>
    <w:rsid w:val="00A1538E"/>
    <w:rsid w:val="00A94212"/>
    <w:rsid w:val="00E7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32EC"/>
  <w15:docId w15:val="{FCCE1244-0261-45EB-966A-98A08CC7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58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E2258C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A738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Arial" w:hAnsi="Arial"/>
      <w:b/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sz w:val="18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sz w:val="18"/>
    </w:rPr>
  </w:style>
  <w:style w:type="character" w:customStyle="1" w:styleId="ListLabel6">
    <w:name w:val="ListLabel 6"/>
    <w:qFormat/>
    <w:rPr>
      <w:sz w:val="18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sz w:val="18"/>
    </w:rPr>
  </w:style>
  <w:style w:type="character" w:customStyle="1" w:styleId="ListLabel10">
    <w:name w:val="ListLabel 10"/>
    <w:qFormat/>
    <w:rPr>
      <w:rFonts w:ascii="Arial" w:hAnsi="Arial"/>
      <w:b/>
      <w:sz w:val="18"/>
    </w:rPr>
  </w:style>
  <w:style w:type="character" w:customStyle="1" w:styleId="ListLabel11">
    <w:name w:val="ListLabel 11"/>
    <w:qFormat/>
    <w:rPr>
      <w:sz w:val="18"/>
    </w:rPr>
  </w:style>
  <w:style w:type="character" w:customStyle="1" w:styleId="ListLabel12">
    <w:name w:val="ListLabel 12"/>
    <w:qFormat/>
    <w:rPr>
      <w:sz w:val="18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sz w:val="18"/>
    </w:rPr>
  </w:style>
  <w:style w:type="character" w:customStyle="1" w:styleId="ListLabel15">
    <w:name w:val="ListLabel 15"/>
    <w:qFormat/>
    <w:rPr>
      <w:sz w:val="18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sz w:val="18"/>
    </w:rPr>
  </w:style>
  <w:style w:type="character" w:customStyle="1" w:styleId="ListLabel18">
    <w:name w:val="ListLabel 18"/>
    <w:qFormat/>
    <w:rPr>
      <w:sz w:val="18"/>
    </w:rPr>
  </w:style>
  <w:style w:type="character" w:customStyle="1" w:styleId="ListLabel19">
    <w:name w:val="ListLabel 19"/>
    <w:qFormat/>
    <w:rPr>
      <w:rFonts w:ascii="Arial" w:hAnsi="Arial" w:cs="Arial"/>
      <w:sz w:val="18"/>
      <w:szCs w:val="18"/>
    </w:rPr>
  </w:style>
  <w:style w:type="character" w:customStyle="1" w:styleId="ListLabel20">
    <w:name w:val="ListLabel 20"/>
    <w:qFormat/>
    <w:rPr>
      <w:rFonts w:ascii="Arial" w:hAnsi="Arial" w:cs="Wingdings"/>
      <w:b/>
      <w:sz w:val="18"/>
    </w:rPr>
  </w:style>
  <w:style w:type="character" w:customStyle="1" w:styleId="ListLabel21">
    <w:name w:val="ListLabel 21"/>
    <w:qFormat/>
    <w:rPr>
      <w:rFonts w:cs="Courier New"/>
      <w:sz w:val="18"/>
    </w:rPr>
  </w:style>
  <w:style w:type="character" w:customStyle="1" w:styleId="ListLabel22">
    <w:name w:val="ListLabel 22"/>
    <w:qFormat/>
    <w:rPr>
      <w:rFonts w:cs="Wingdings"/>
      <w:sz w:val="18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  <w:sz w:val="18"/>
    </w:rPr>
  </w:style>
  <w:style w:type="character" w:customStyle="1" w:styleId="ListLabel25">
    <w:name w:val="ListLabel 25"/>
    <w:qFormat/>
    <w:rPr>
      <w:rFonts w:cs="Wingdings"/>
      <w:sz w:val="18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  <w:sz w:val="18"/>
    </w:rPr>
  </w:style>
  <w:style w:type="character" w:customStyle="1" w:styleId="ListLabel28">
    <w:name w:val="ListLabel 28"/>
    <w:qFormat/>
    <w:rPr>
      <w:rFonts w:cs="Wingdings"/>
      <w:sz w:val="18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Arial" w:hAnsi="Arial" w:cs="Wingdings"/>
      <w:b/>
      <w:sz w:val="18"/>
    </w:rPr>
  </w:style>
  <w:style w:type="character" w:customStyle="1" w:styleId="ListLabel39">
    <w:name w:val="ListLabel 39"/>
    <w:qFormat/>
    <w:rPr>
      <w:rFonts w:cs="Courier New"/>
      <w:sz w:val="18"/>
    </w:rPr>
  </w:style>
  <w:style w:type="character" w:customStyle="1" w:styleId="ListLabel40">
    <w:name w:val="ListLabel 40"/>
    <w:qFormat/>
    <w:rPr>
      <w:rFonts w:cs="Wingdings"/>
      <w:sz w:val="18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  <w:sz w:val="18"/>
    </w:rPr>
  </w:style>
  <w:style w:type="character" w:customStyle="1" w:styleId="ListLabel43">
    <w:name w:val="ListLabel 43"/>
    <w:qFormat/>
    <w:rPr>
      <w:rFonts w:cs="Wingdings"/>
      <w:sz w:val="18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  <w:sz w:val="18"/>
    </w:rPr>
  </w:style>
  <w:style w:type="character" w:customStyle="1" w:styleId="ListLabel46">
    <w:name w:val="ListLabel 46"/>
    <w:qFormat/>
    <w:rPr>
      <w:rFonts w:cs="Wingdings"/>
      <w:sz w:val="18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Arial" w:hAnsi="Arial" w:cs="Arial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ascii="Arial" w:hAnsi="Arial" w:cs="Arial"/>
      <w:sz w:val="18"/>
      <w:szCs w:val="18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Arial" w:hAnsi="Arial" w:cs="Arial"/>
      <w:sz w:val="18"/>
      <w:szCs w:val="18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ascii="Arial" w:hAnsi="Arial" w:cs="Arial"/>
      <w:sz w:val="18"/>
      <w:szCs w:val="18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ascii="Arial" w:hAnsi="Arial" w:cs="Arial"/>
      <w:sz w:val="18"/>
      <w:szCs w:val="18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949AA"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A73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numbering" w:customStyle="1" w:styleId="WW8Num20">
    <w:name w:val="WW8Num20"/>
    <w:qFormat/>
    <w:rsid w:val="00E2258C"/>
  </w:style>
  <w:style w:type="numbering" w:customStyle="1" w:styleId="WW8Num18">
    <w:name w:val="WW8Num18"/>
    <w:qFormat/>
    <w:rsid w:val="00E2258C"/>
  </w:style>
  <w:style w:type="paragraph" w:styleId="Tytu">
    <w:name w:val="Title"/>
    <w:basedOn w:val="Normalny"/>
    <w:link w:val="TytuZnak"/>
    <w:uiPriority w:val="10"/>
    <w:qFormat/>
    <w:rsid w:val="00E70F44"/>
    <w:pPr>
      <w:widowControl w:val="0"/>
      <w:adjustRightInd w:val="0"/>
      <w:spacing w:line="360" w:lineRule="atLeast"/>
      <w:jc w:val="center"/>
      <w:textAlignment w:val="baseline"/>
    </w:pPr>
    <w:rPr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E70F4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0F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0F4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deocardbenchmark.net/g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4</Pages>
  <Words>1090</Words>
  <Characters>6541</Characters>
  <Application>Microsoft Office Word</Application>
  <DocSecurity>0</DocSecurity>
  <Lines>54</Lines>
  <Paragraphs>15</Paragraphs>
  <ScaleCrop>false</ScaleCrop>
  <Company>Microsoft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Grzegorz Józefiak</cp:lastModifiedBy>
  <cp:revision>123</cp:revision>
  <cp:lastPrinted>2019-09-09T12:12:00Z</cp:lastPrinted>
  <dcterms:created xsi:type="dcterms:W3CDTF">2017-08-11T10:10:00Z</dcterms:created>
  <dcterms:modified xsi:type="dcterms:W3CDTF">2020-03-04T12:52:00Z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